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94" w:rsidRPr="00494294" w:rsidRDefault="00494294" w:rsidP="00494294">
      <w:pPr>
        <w:jc w:val="center"/>
        <w:rPr>
          <w:rFonts w:ascii="Book Antiqua" w:hAnsi="Book Antiqua"/>
          <w:b/>
          <w:sz w:val="24"/>
          <w:szCs w:val="24"/>
        </w:rPr>
      </w:pPr>
      <w:r w:rsidRPr="00494294">
        <w:rPr>
          <w:rFonts w:ascii="Book Antiqua" w:hAnsi="Book Antiqua"/>
          <w:b/>
          <w:sz w:val="24"/>
          <w:szCs w:val="24"/>
        </w:rPr>
        <w:t>Online Learning Committee End-of-Year Report</w:t>
      </w:r>
    </w:p>
    <w:p w:rsidR="00741C71" w:rsidRPr="00494294" w:rsidRDefault="00494294" w:rsidP="00494294">
      <w:pPr>
        <w:jc w:val="center"/>
        <w:rPr>
          <w:rFonts w:ascii="Book Antiqua" w:hAnsi="Book Antiqua"/>
          <w:b/>
          <w:sz w:val="24"/>
          <w:szCs w:val="24"/>
        </w:rPr>
      </w:pPr>
      <w:r>
        <w:rPr>
          <w:rFonts w:ascii="Book Antiqua" w:hAnsi="Book Antiqua"/>
          <w:b/>
          <w:sz w:val="24"/>
          <w:szCs w:val="24"/>
        </w:rPr>
        <w:t>May</w:t>
      </w:r>
      <w:r w:rsidRPr="00494294">
        <w:rPr>
          <w:rFonts w:ascii="Book Antiqua" w:hAnsi="Book Antiqua"/>
          <w:b/>
          <w:sz w:val="24"/>
          <w:szCs w:val="24"/>
        </w:rPr>
        <w:t xml:space="preserve"> 2019</w:t>
      </w:r>
    </w:p>
    <w:p w:rsidR="00494294" w:rsidRPr="00494294" w:rsidRDefault="00494294">
      <w:pPr>
        <w:rPr>
          <w:rFonts w:ascii="Book Antiqua" w:hAnsi="Book Antiqua"/>
          <w:sz w:val="24"/>
          <w:szCs w:val="24"/>
        </w:rPr>
      </w:pPr>
      <w:r w:rsidRPr="00494294">
        <w:rPr>
          <w:rFonts w:ascii="Book Antiqua" w:hAnsi="Book Antiqua"/>
          <w:b/>
          <w:sz w:val="24"/>
          <w:szCs w:val="24"/>
        </w:rPr>
        <w:t>Committee Members</w:t>
      </w:r>
      <w:r w:rsidRPr="00494294">
        <w:rPr>
          <w:rFonts w:ascii="Book Antiqua" w:hAnsi="Book Antiqua"/>
          <w:sz w:val="24"/>
          <w:szCs w:val="24"/>
        </w:rPr>
        <w:t>: Eric Bourque, Dianne Fallon, Steve Paulone, Maureen Simmons, Amber Tatnall, Danielle Ebbrecht, Jason Arey, Claudette Dupee, Lisa Murphy, Doreen Rogan</w:t>
      </w:r>
    </w:p>
    <w:p w:rsidR="00494294" w:rsidRDefault="00494294">
      <w:pPr>
        <w:rPr>
          <w:rFonts w:ascii="Book Antiqua" w:hAnsi="Book Antiqua"/>
          <w:b/>
          <w:sz w:val="24"/>
          <w:szCs w:val="24"/>
        </w:rPr>
      </w:pPr>
      <w:r w:rsidRPr="00494294">
        <w:rPr>
          <w:rFonts w:ascii="Book Antiqua" w:hAnsi="Book Antiqua"/>
          <w:b/>
          <w:sz w:val="24"/>
          <w:szCs w:val="24"/>
        </w:rPr>
        <w:t>Accomplishments</w:t>
      </w:r>
      <w:r w:rsidR="00F0221D">
        <w:rPr>
          <w:rFonts w:ascii="Book Antiqua" w:hAnsi="Book Antiqua"/>
          <w:b/>
          <w:sz w:val="24"/>
          <w:szCs w:val="24"/>
        </w:rPr>
        <w:t xml:space="preserve"> for our first formal year (1819)</w:t>
      </w:r>
      <w:r w:rsidRPr="00494294">
        <w:rPr>
          <w:rFonts w:ascii="Book Antiqua" w:hAnsi="Book Antiqua"/>
          <w:b/>
          <w:sz w:val="24"/>
          <w:szCs w:val="24"/>
        </w:rPr>
        <w:t>:</w:t>
      </w:r>
    </w:p>
    <w:p w:rsidR="00494294" w:rsidRDefault="00494294" w:rsidP="00494294">
      <w:pPr>
        <w:pStyle w:val="ListParagraph"/>
        <w:numPr>
          <w:ilvl w:val="0"/>
          <w:numId w:val="1"/>
        </w:numPr>
        <w:rPr>
          <w:rFonts w:ascii="Book Antiqua" w:hAnsi="Book Antiqua"/>
          <w:sz w:val="24"/>
          <w:szCs w:val="24"/>
        </w:rPr>
      </w:pPr>
      <w:r>
        <w:rPr>
          <w:rFonts w:ascii="Book Antiqua" w:hAnsi="Book Antiqua"/>
          <w:sz w:val="24"/>
          <w:szCs w:val="24"/>
        </w:rPr>
        <w:t xml:space="preserve">Online Ed Handbook </w:t>
      </w:r>
    </w:p>
    <w:p w:rsidR="00F0221D" w:rsidRDefault="00F0221D" w:rsidP="00F0221D">
      <w:pPr>
        <w:pStyle w:val="ListParagraph"/>
        <w:numPr>
          <w:ilvl w:val="1"/>
          <w:numId w:val="1"/>
        </w:numPr>
        <w:rPr>
          <w:rFonts w:ascii="Book Antiqua" w:hAnsi="Book Antiqua"/>
          <w:sz w:val="24"/>
          <w:szCs w:val="24"/>
        </w:rPr>
      </w:pPr>
      <w:r>
        <w:rPr>
          <w:rFonts w:ascii="Book Antiqua" w:hAnsi="Book Antiqua"/>
          <w:sz w:val="24"/>
          <w:szCs w:val="24"/>
        </w:rPr>
        <w:t>Created a list of item to add/create for handbook</w:t>
      </w:r>
    </w:p>
    <w:p w:rsidR="00F0221D" w:rsidRDefault="00F0221D" w:rsidP="00F0221D">
      <w:pPr>
        <w:pStyle w:val="ListParagraph"/>
        <w:numPr>
          <w:ilvl w:val="1"/>
          <w:numId w:val="1"/>
        </w:numPr>
        <w:rPr>
          <w:rFonts w:ascii="Book Antiqua" w:hAnsi="Book Antiqua"/>
          <w:sz w:val="24"/>
          <w:szCs w:val="24"/>
        </w:rPr>
      </w:pPr>
      <w:r>
        <w:rPr>
          <w:rFonts w:ascii="Book Antiqua" w:hAnsi="Book Antiqua"/>
          <w:sz w:val="24"/>
          <w:szCs w:val="24"/>
        </w:rPr>
        <w:t>Drafted and approved the following items for the handbook</w:t>
      </w:r>
    </w:p>
    <w:p w:rsidR="00494294" w:rsidRDefault="00494294" w:rsidP="00F0221D">
      <w:pPr>
        <w:pStyle w:val="ListParagraph"/>
        <w:numPr>
          <w:ilvl w:val="2"/>
          <w:numId w:val="1"/>
        </w:numPr>
        <w:rPr>
          <w:rFonts w:ascii="Book Antiqua" w:hAnsi="Book Antiqua"/>
          <w:sz w:val="24"/>
          <w:szCs w:val="24"/>
        </w:rPr>
      </w:pPr>
      <w:r>
        <w:rPr>
          <w:rFonts w:ascii="Book Antiqua" w:hAnsi="Book Antiqua"/>
          <w:sz w:val="24"/>
          <w:szCs w:val="24"/>
        </w:rPr>
        <w:t>Mission</w:t>
      </w:r>
    </w:p>
    <w:p w:rsidR="00494294" w:rsidRDefault="00494294" w:rsidP="00F0221D">
      <w:pPr>
        <w:pStyle w:val="ListParagraph"/>
        <w:numPr>
          <w:ilvl w:val="2"/>
          <w:numId w:val="1"/>
        </w:numPr>
        <w:rPr>
          <w:rFonts w:ascii="Book Antiqua" w:hAnsi="Book Antiqua"/>
          <w:sz w:val="24"/>
          <w:szCs w:val="24"/>
        </w:rPr>
      </w:pPr>
      <w:r>
        <w:rPr>
          <w:rFonts w:ascii="Book Antiqua" w:hAnsi="Book Antiqua"/>
          <w:sz w:val="24"/>
          <w:szCs w:val="24"/>
        </w:rPr>
        <w:t>Identity Verification</w:t>
      </w:r>
    </w:p>
    <w:p w:rsidR="00494294" w:rsidRDefault="00494294" w:rsidP="00F0221D">
      <w:pPr>
        <w:pStyle w:val="ListParagraph"/>
        <w:numPr>
          <w:ilvl w:val="2"/>
          <w:numId w:val="1"/>
        </w:numPr>
        <w:rPr>
          <w:rFonts w:ascii="Book Antiqua" w:hAnsi="Book Antiqua"/>
          <w:sz w:val="24"/>
          <w:szCs w:val="24"/>
        </w:rPr>
      </w:pPr>
      <w:r>
        <w:rPr>
          <w:rFonts w:ascii="Book Antiqua" w:hAnsi="Book Antiqua"/>
          <w:sz w:val="24"/>
          <w:szCs w:val="24"/>
        </w:rPr>
        <w:t>Academic Support Services</w:t>
      </w:r>
    </w:p>
    <w:p w:rsidR="00494294" w:rsidRDefault="00494294" w:rsidP="00494294">
      <w:pPr>
        <w:pStyle w:val="ListParagraph"/>
        <w:ind w:left="1440"/>
        <w:rPr>
          <w:rFonts w:ascii="Book Antiqua" w:hAnsi="Book Antiqua"/>
          <w:sz w:val="24"/>
          <w:szCs w:val="24"/>
        </w:rPr>
      </w:pPr>
    </w:p>
    <w:p w:rsidR="00494294" w:rsidRDefault="00F0221D" w:rsidP="00494294">
      <w:pPr>
        <w:pStyle w:val="ListParagraph"/>
        <w:numPr>
          <w:ilvl w:val="0"/>
          <w:numId w:val="1"/>
        </w:numPr>
        <w:rPr>
          <w:rFonts w:ascii="Book Antiqua" w:hAnsi="Book Antiqua"/>
          <w:sz w:val="24"/>
          <w:szCs w:val="24"/>
        </w:rPr>
      </w:pPr>
      <w:r>
        <w:rPr>
          <w:rFonts w:ascii="Book Antiqua" w:hAnsi="Book Antiqua"/>
          <w:sz w:val="24"/>
          <w:szCs w:val="24"/>
        </w:rPr>
        <w:t>Choose</w:t>
      </w:r>
      <w:r w:rsidR="00494294" w:rsidRPr="00494294">
        <w:rPr>
          <w:rFonts w:ascii="Book Antiqua" w:hAnsi="Book Antiqua"/>
          <w:sz w:val="24"/>
          <w:szCs w:val="24"/>
        </w:rPr>
        <w:t xml:space="preserve"> an </w:t>
      </w:r>
      <w:r>
        <w:rPr>
          <w:rFonts w:ascii="Book Antiqua" w:hAnsi="Book Antiqua"/>
          <w:sz w:val="24"/>
          <w:szCs w:val="24"/>
        </w:rPr>
        <w:t>Online Course Design Checklist to review through a pilot project, pilot to begin at the end-of-May</w:t>
      </w:r>
    </w:p>
    <w:p w:rsidR="00F0221D" w:rsidRDefault="00F0221D" w:rsidP="00494294">
      <w:pPr>
        <w:pStyle w:val="ListParagraph"/>
        <w:numPr>
          <w:ilvl w:val="0"/>
          <w:numId w:val="1"/>
        </w:numPr>
        <w:rPr>
          <w:rFonts w:ascii="Book Antiqua" w:hAnsi="Book Antiqua"/>
          <w:sz w:val="24"/>
          <w:szCs w:val="24"/>
        </w:rPr>
      </w:pPr>
      <w:r>
        <w:rPr>
          <w:rFonts w:ascii="Book Antiqua" w:hAnsi="Book Antiqua"/>
          <w:sz w:val="24"/>
          <w:szCs w:val="24"/>
        </w:rPr>
        <w:t>Began the review of a new LMS to replace our current Blackboard Learn</w:t>
      </w:r>
    </w:p>
    <w:p w:rsidR="00F0221D" w:rsidRDefault="00F0221D" w:rsidP="00F0221D">
      <w:pPr>
        <w:pStyle w:val="ListParagraph"/>
        <w:numPr>
          <w:ilvl w:val="1"/>
          <w:numId w:val="1"/>
        </w:numPr>
        <w:rPr>
          <w:rFonts w:ascii="Book Antiqua" w:hAnsi="Book Antiqua"/>
          <w:sz w:val="24"/>
          <w:szCs w:val="24"/>
        </w:rPr>
      </w:pPr>
      <w:r>
        <w:rPr>
          <w:rFonts w:ascii="Book Antiqua" w:hAnsi="Book Antiqua"/>
          <w:sz w:val="24"/>
          <w:szCs w:val="24"/>
        </w:rPr>
        <w:t>Participating on the System-wide review team</w:t>
      </w:r>
      <w:r w:rsidR="00DD0A54">
        <w:rPr>
          <w:rFonts w:ascii="Book Antiqua" w:hAnsi="Book Antiqua"/>
          <w:sz w:val="24"/>
          <w:szCs w:val="24"/>
        </w:rPr>
        <w:t xml:space="preserve"> and reviewing Sandboxes for the three different LMS options</w:t>
      </w:r>
    </w:p>
    <w:p w:rsidR="007B5686" w:rsidRDefault="007B5686" w:rsidP="007B5686">
      <w:pPr>
        <w:pStyle w:val="ListParagraph"/>
        <w:numPr>
          <w:ilvl w:val="0"/>
          <w:numId w:val="1"/>
        </w:numPr>
        <w:rPr>
          <w:rFonts w:ascii="Book Antiqua" w:hAnsi="Book Antiqua"/>
          <w:sz w:val="24"/>
          <w:szCs w:val="24"/>
        </w:rPr>
      </w:pPr>
      <w:r>
        <w:rPr>
          <w:rFonts w:ascii="Book Antiqua" w:hAnsi="Book Antiqua"/>
          <w:sz w:val="24"/>
          <w:szCs w:val="24"/>
        </w:rPr>
        <w:t>Added our agenda and minutes to the Committee’s portal page, will also be adding this end of year report, the Online Ed portion of the strategic plan, and the data gathered – we plan to post these item annually.</w:t>
      </w:r>
    </w:p>
    <w:p w:rsidR="00DD0A54" w:rsidRDefault="00DD0A54" w:rsidP="00DD0A54">
      <w:pPr>
        <w:pStyle w:val="ListParagraph"/>
        <w:numPr>
          <w:ilvl w:val="0"/>
          <w:numId w:val="1"/>
        </w:numPr>
        <w:rPr>
          <w:rFonts w:ascii="Book Antiqua" w:hAnsi="Book Antiqua"/>
          <w:sz w:val="24"/>
          <w:szCs w:val="24"/>
        </w:rPr>
      </w:pPr>
      <w:r>
        <w:rPr>
          <w:rFonts w:ascii="Book Antiqua" w:hAnsi="Book Antiqua"/>
          <w:sz w:val="24"/>
          <w:szCs w:val="24"/>
        </w:rPr>
        <w:t>Reviewed the portion of Academic Affairs Strategic Plan related to Online Ed</w:t>
      </w:r>
      <w:r w:rsidR="002259B5">
        <w:rPr>
          <w:rFonts w:ascii="Book Antiqua" w:hAnsi="Book Antiqua"/>
          <w:sz w:val="24"/>
          <w:szCs w:val="24"/>
        </w:rPr>
        <w:t xml:space="preserve"> (see separate document)</w:t>
      </w:r>
    </w:p>
    <w:p w:rsidR="002259B5" w:rsidRDefault="002259B5" w:rsidP="002259B5">
      <w:pPr>
        <w:rPr>
          <w:rFonts w:ascii="Book Antiqua" w:hAnsi="Book Antiqua"/>
          <w:sz w:val="24"/>
          <w:szCs w:val="24"/>
        </w:rPr>
      </w:pPr>
      <w:r>
        <w:rPr>
          <w:rFonts w:ascii="Book Antiqua" w:hAnsi="Book Antiqua"/>
          <w:sz w:val="24"/>
          <w:szCs w:val="24"/>
        </w:rPr>
        <w:t>A review of Online Ed</w:t>
      </w:r>
    </w:p>
    <w:p w:rsidR="002259B5" w:rsidRPr="00C262B4" w:rsidRDefault="002259B5" w:rsidP="002259B5">
      <w:pPr>
        <w:jc w:val="center"/>
        <w:rPr>
          <w:rFonts w:ascii="Book Antiqua" w:hAnsi="Book Antiqua"/>
          <w:b/>
          <w:sz w:val="24"/>
          <w:szCs w:val="24"/>
        </w:rPr>
      </w:pPr>
      <w:r w:rsidRPr="00C262B4">
        <w:rPr>
          <w:rFonts w:ascii="Book Antiqua" w:hAnsi="Book Antiqua"/>
          <w:b/>
          <w:sz w:val="24"/>
          <w:szCs w:val="24"/>
        </w:rPr>
        <w:t>Data Regarding Online Ed at YCCC</w:t>
      </w:r>
    </w:p>
    <w:p w:rsidR="002259B5" w:rsidRPr="00C262B4" w:rsidRDefault="002259B5" w:rsidP="002259B5">
      <w:pPr>
        <w:jc w:val="center"/>
        <w:rPr>
          <w:rFonts w:ascii="Book Antiqua" w:hAnsi="Book Antiqua"/>
          <w:b/>
          <w:sz w:val="24"/>
          <w:szCs w:val="24"/>
        </w:rPr>
      </w:pPr>
      <w:r w:rsidRPr="00C262B4">
        <w:rPr>
          <w:rFonts w:ascii="Book Antiqua" w:hAnsi="Book Antiqua"/>
          <w:b/>
          <w:sz w:val="24"/>
          <w:szCs w:val="24"/>
        </w:rPr>
        <w:t>April 2019</w:t>
      </w:r>
    </w:p>
    <w:p w:rsidR="002259B5" w:rsidRPr="00C262B4" w:rsidRDefault="002259B5" w:rsidP="002259B5">
      <w:pPr>
        <w:rPr>
          <w:rFonts w:ascii="Book Antiqua" w:hAnsi="Book Antiqua"/>
          <w:sz w:val="24"/>
          <w:szCs w:val="24"/>
        </w:rPr>
      </w:pPr>
      <w:r w:rsidRPr="00C262B4">
        <w:rPr>
          <w:rFonts w:ascii="Book Antiqua" w:hAnsi="Book Antiqua"/>
          <w:sz w:val="24"/>
          <w:szCs w:val="24"/>
        </w:rPr>
        <w:t>Enrollment &amp; Course Offerings</w:t>
      </w:r>
    </w:p>
    <w:tbl>
      <w:tblPr>
        <w:tblStyle w:val="TableGrid"/>
        <w:tblW w:w="0" w:type="auto"/>
        <w:jc w:val="center"/>
        <w:tblLook w:val="04A0" w:firstRow="1" w:lastRow="0" w:firstColumn="1" w:lastColumn="0" w:noHBand="0" w:noVBand="1"/>
      </w:tblPr>
      <w:tblGrid>
        <w:gridCol w:w="2245"/>
        <w:gridCol w:w="2429"/>
        <w:gridCol w:w="2338"/>
      </w:tblGrid>
      <w:tr w:rsidR="002259B5" w:rsidRPr="00C262B4" w:rsidTr="002F0D29">
        <w:trPr>
          <w:jc w:val="center"/>
        </w:trPr>
        <w:tc>
          <w:tcPr>
            <w:tcW w:w="2245" w:type="dxa"/>
          </w:tcPr>
          <w:p w:rsidR="002259B5" w:rsidRPr="00C262B4" w:rsidRDefault="002259B5" w:rsidP="002F0D29">
            <w:pPr>
              <w:tabs>
                <w:tab w:val="left" w:pos="2974"/>
              </w:tabs>
              <w:jc w:val="center"/>
              <w:rPr>
                <w:rFonts w:ascii="Book Antiqua" w:hAnsi="Book Antiqua"/>
                <w:sz w:val="24"/>
                <w:szCs w:val="24"/>
              </w:rPr>
            </w:pPr>
          </w:p>
        </w:tc>
        <w:tc>
          <w:tcPr>
            <w:tcW w:w="2429" w:type="dxa"/>
          </w:tcPr>
          <w:p w:rsidR="002259B5" w:rsidRPr="00C262B4" w:rsidRDefault="002259B5" w:rsidP="002259B5">
            <w:pPr>
              <w:tabs>
                <w:tab w:val="left" w:pos="2974"/>
              </w:tabs>
              <w:rPr>
                <w:rFonts w:ascii="Book Antiqua" w:hAnsi="Book Antiqua"/>
                <w:sz w:val="24"/>
                <w:szCs w:val="24"/>
              </w:rPr>
            </w:pPr>
            <w:r w:rsidRPr="00C262B4">
              <w:rPr>
                <w:rFonts w:ascii="Book Antiqua" w:hAnsi="Book Antiqua"/>
                <w:sz w:val="24"/>
                <w:szCs w:val="24"/>
              </w:rPr>
              <w:t>% students taking</w:t>
            </w:r>
            <w:r>
              <w:rPr>
                <w:rFonts w:ascii="Book Antiqua" w:hAnsi="Book Antiqua"/>
                <w:sz w:val="24"/>
                <w:szCs w:val="24"/>
              </w:rPr>
              <w:t xml:space="preserve"> at least one</w:t>
            </w:r>
            <w:bookmarkStart w:id="0" w:name="_GoBack"/>
            <w:bookmarkEnd w:id="0"/>
            <w:r w:rsidRPr="00C262B4">
              <w:rPr>
                <w:rFonts w:ascii="Book Antiqua" w:hAnsi="Book Antiqua"/>
                <w:sz w:val="24"/>
                <w:szCs w:val="24"/>
              </w:rPr>
              <w:t xml:space="preserve"> online </w:t>
            </w: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 of courses offered online</w:t>
            </w:r>
          </w:p>
        </w:tc>
      </w:tr>
      <w:tr w:rsidR="002259B5" w:rsidRPr="00C262B4" w:rsidTr="002F0D29">
        <w:trPr>
          <w:jc w:val="center"/>
        </w:trPr>
        <w:tc>
          <w:tcPr>
            <w:tcW w:w="2245"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Fall 2014</w:t>
            </w:r>
          </w:p>
        </w:tc>
        <w:tc>
          <w:tcPr>
            <w:tcW w:w="2429"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33%</w:t>
            </w: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17%</w:t>
            </w:r>
          </w:p>
        </w:tc>
      </w:tr>
      <w:tr w:rsidR="002259B5" w:rsidRPr="00C262B4" w:rsidTr="002F0D29">
        <w:trPr>
          <w:jc w:val="center"/>
        </w:trPr>
        <w:tc>
          <w:tcPr>
            <w:tcW w:w="2245"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Fall 2015</w:t>
            </w:r>
          </w:p>
        </w:tc>
        <w:tc>
          <w:tcPr>
            <w:tcW w:w="2429"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38%</w:t>
            </w: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18%</w:t>
            </w:r>
          </w:p>
        </w:tc>
      </w:tr>
      <w:tr w:rsidR="002259B5" w:rsidRPr="00C262B4" w:rsidTr="002F0D29">
        <w:trPr>
          <w:jc w:val="center"/>
        </w:trPr>
        <w:tc>
          <w:tcPr>
            <w:tcW w:w="2245"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Fall 2016</w:t>
            </w:r>
          </w:p>
        </w:tc>
        <w:tc>
          <w:tcPr>
            <w:tcW w:w="2429"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39%</w:t>
            </w: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23%</w:t>
            </w:r>
          </w:p>
        </w:tc>
      </w:tr>
      <w:tr w:rsidR="002259B5" w:rsidRPr="00C262B4" w:rsidTr="002F0D29">
        <w:trPr>
          <w:jc w:val="center"/>
        </w:trPr>
        <w:tc>
          <w:tcPr>
            <w:tcW w:w="2245"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Fall 2017</w:t>
            </w:r>
          </w:p>
        </w:tc>
        <w:tc>
          <w:tcPr>
            <w:tcW w:w="2429"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40%</w:t>
            </w: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29%</w:t>
            </w:r>
          </w:p>
        </w:tc>
      </w:tr>
      <w:tr w:rsidR="002259B5" w:rsidRPr="00C262B4" w:rsidTr="002F0D29">
        <w:trPr>
          <w:jc w:val="center"/>
        </w:trPr>
        <w:tc>
          <w:tcPr>
            <w:tcW w:w="2245"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Fall 2018</w:t>
            </w:r>
          </w:p>
        </w:tc>
        <w:tc>
          <w:tcPr>
            <w:tcW w:w="2429"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39%</w:t>
            </w: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31%</w:t>
            </w:r>
          </w:p>
        </w:tc>
      </w:tr>
      <w:tr w:rsidR="002259B5" w:rsidRPr="00C262B4" w:rsidTr="002F0D29">
        <w:trPr>
          <w:jc w:val="center"/>
        </w:trPr>
        <w:tc>
          <w:tcPr>
            <w:tcW w:w="2245"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Fall 2019</w:t>
            </w:r>
          </w:p>
        </w:tc>
        <w:tc>
          <w:tcPr>
            <w:tcW w:w="2429" w:type="dxa"/>
          </w:tcPr>
          <w:p w:rsidR="002259B5" w:rsidRPr="00C262B4" w:rsidRDefault="002259B5" w:rsidP="002F0D29">
            <w:pPr>
              <w:tabs>
                <w:tab w:val="left" w:pos="2974"/>
              </w:tabs>
              <w:rPr>
                <w:rFonts w:ascii="Book Antiqua" w:hAnsi="Book Antiqua"/>
                <w:sz w:val="24"/>
                <w:szCs w:val="24"/>
              </w:rPr>
            </w:pPr>
          </w:p>
        </w:tc>
        <w:tc>
          <w:tcPr>
            <w:tcW w:w="2338" w:type="dxa"/>
          </w:tcPr>
          <w:p w:rsidR="002259B5" w:rsidRPr="00C262B4" w:rsidRDefault="002259B5" w:rsidP="002F0D29">
            <w:pPr>
              <w:tabs>
                <w:tab w:val="left" w:pos="2974"/>
              </w:tabs>
              <w:rPr>
                <w:rFonts w:ascii="Book Antiqua" w:hAnsi="Book Antiqua"/>
                <w:sz w:val="24"/>
                <w:szCs w:val="24"/>
              </w:rPr>
            </w:pPr>
            <w:r w:rsidRPr="00C262B4">
              <w:rPr>
                <w:rFonts w:ascii="Book Antiqua" w:hAnsi="Book Antiqua"/>
                <w:sz w:val="24"/>
                <w:szCs w:val="24"/>
              </w:rPr>
              <w:t>32%</w:t>
            </w:r>
          </w:p>
        </w:tc>
      </w:tr>
    </w:tbl>
    <w:p w:rsidR="002259B5" w:rsidRPr="00C262B4" w:rsidRDefault="002259B5" w:rsidP="002259B5">
      <w:pPr>
        <w:rPr>
          <w:rFonts w:ascii="Book Antiqua" w:hAnsi="Book Antiqua"/>
          <w:sz w:val="24"/>
          <w:szCs w:val="24"/>
        </w:rPr>
      </w:pPr>
    </w:p>
    <w:p w:rsidR="002259B5" w:rsidRPr="00C262B4" w:rsidRDefault="002259B5" w:rsidP="002259B5">
      <w:pPr>
        <w:rPr>
          <w:rFonts w:ascii="Book Antiqua" w:hAnsi="Book Antiqua"/>
          <w:sz w:val="24"/>
          <w:szCs w:val="24"/>
        </w:rPr>
      </w:pPr>
      <w:r w:rsidRPr="00C262B4">
        <w:rPr>
          <w:rFonts w:ascii="Book Antiqua" w:hAnsi="Book Antiqua"/>
          <w:sz w:val="24"/>
          <w:szCs w:val="24"/>
        </w:rPr>
        <w:lastRenderedPageBreak/>
        <w:t xml:space="preserve">Percentage of </w:t>
      </w:r>
      <w:r w:rsidRPr="00C262B4">
        <w:rPr>
          <w:rFonts w:ascii="Book Antiqua" w:hAnsi="Book Antiqua"/>
          <w:b/>
          <w:sz w:val="24"/>
          <w:szCs w:val="24"/>
        </w:rPr>
        <w:t>matriculated</w:t>
      </w:r>
      <w:r w:rsidRPr="00C262B4">
        <w:rPr>
          <w:rFonts w:ascii="Book Antiqua" w:hAnsi="Book Antiqua"/>
          <w:sz w:val="24"/>
          <w:szCs w:val="24"/>
        </w:rPr>
        <w:t xml:space="preserve"> students taking all course online.</w:t>
      </w:r>
    </w:p>
    <w:tbl>
      <w:tblPr>
        <w:tblW w:w="6320" w:type="dxa"/>
        <w:jc w:val="center"/>
        <w:tblCellMar>
          <w:left w:w="0" w:type="dxa"/>
          <w:right w:w="0" w:type="dxa"/>
        </w:tblCellMar>
        <w:tblLook w:val="04A0" w:firstRow="1" w:lastRow="0" w:firstColumn="1" w:lastColumn="0" w:noHBand="0" w:noVBand="1"/>
      </w:tblPr>
      <w:tblGrid>
        <w:gridCol w:w="1080"/>
        <w:gridCol w:w="1043"/>
        <w:gridCol w:w="696"/>
        <w:gridCol w:w="784"/>
        <w:gridCol w:w="696"/>
        <w:gridCol w:w="784"/>
        <w:gridCol w:w="696"/>
        <w:gridCol w:w="784"/>
      </w:tblGrid>
      <w:tr w:rsidR="002259B5" w:rsidRPr="00C262B4" w:rsidTr="002F0D29">
        <w:trPr>
          <w:trHeight w:val="600"/>
          <w:jc w:val="cent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Year &amp; Term</w:t>
            </w:r>
          </w:p>
        </w:tc>
        <w:tc>
          <w:tcPr>
            <w:tcW w:w="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 xml:space="preserve">Total </w:t>
            </w:r>
            <w:proofErr w:type="spellStart"/>
            <w:r w:rsidRPr="00C262B4">
              <w:rPr>
                <w:rFonts w:ascii="Book Antiqua" w:hAnsi="Book Antiqua"/>
                <w:b/>
                <w:bCs/>
                <w:color w:val="000000"/>
                <w:sz w:val="24"/>
                <w:szCs w:val="24"/>
              </w:rPr>
              <w:t>Matrics</w:t>
            </w:r>
            <w:proofErr w:type="spellEnd"/>
          </w:p>
        </w:tc>
        <w:tc>
          <w:tcPr>
            <w:tcW w:w="148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Not Online</w:t>
            </w:r>
          </w:p>
        </w:tc>
        <w:tc>
          <w:tcPr>
            <w:tcW w:w="1480" w:type="dxa"/>
            <w:gridSpan w:val="2"/>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Partially Online</w:t>
            </w:r>
          </w:p>
        </w:tc>
        <w:tc>
          <w:tcPr>
            <w:tcW w:w="148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100% Online</w:t>
            </w:r>
          </w:p>
        </w:tc>
      </w:tr>
      <w:tr w:rsidR="002259B5" w:rsidRPr="00C262B4" w:rsidTr="002F0D29">
        <w:trPr>
          <w:trHeight w:val="288"/>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Fall 2014</w:t>
            </w:r>
          </w:p>
        </w:tc>
        <w:tc>
          <w:tcPr>
            <w:tcW w:w="8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1400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899</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64%</w:t>
            </w:r>
          </w:p>
        </w:tc>
        <w:tc>
          <w:tcPr>
            <w:tcW w:w="69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337</w:t>
            </w:r>
          </w:p>
        </w:tc>
        <w:tc>
          <w:tcPr>
            <w:tcW w:w="7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24%</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164</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12%</w:t>
            </w:r>
          </w:p>
        </w:tc>
      </w:tr>
      <w:tr w:rsidR="002259B5" w:rsidRPr="00C262B4" w:rsidTr="002F0D29">
        <w:trPr>
          <w:trHeight w:val="288"/>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Fall 2015</w:t>
            </w:r>
          </w:p>
        </w:tc>
        <w:tc>
          <w:tcPr>
            <w:tcW w:w="8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1391</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705</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51%</w:t>
            </w:r>
          </w:p>
        </w:tc>
        <w:tc>
          <w:tcPr>
            <w:tcW w:w="69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425</w:t>
            </w:r>
          </w:p>
        </w:tc>
        <w:tc>
          <w:tcPr>
            <w:tcW w:w="7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31%</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261</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19%</w:t>
            </w:r>
          </w:p>
        </w:tc>
      </w:tr>
      <w:tr w:rsidR="002259B5" w:rsidRPr="00C262B4" w:rsidTr="002F0D29">
        <w:trPr>
          <w:trHeight w:val="288"/>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Fall 2016</w:t>
            </w:r>
          </w:p>
        </w:tc>
        <w:tc>
          <w:tcPr>
            <w:tcW w:w="8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1277</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583</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46%</w:t>
            </w:r>
          </w:p>
        </w:tc>
        <w:tc>
          <w:tcPr>
            <w:tcW w:w="69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386</w:t>
            </w:r>
          </w:p>
        </w:tc>
        <w:tc>
          <w:tcPr>
            <w:tcW w:w="7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30%</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308</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24%</w:t>
            </w:r>
          </w:p>
        </w:tc>
      </w:tr>
      <w:tr w:rsidR="002259B5" w:rsidRPr="00C262B4" w:rsidTr="002F0D29">
        <w:trPr>
          <w:trHeight w:val="288"/>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Fall 2017</w:t>
            </w:r>
          </w:p>
        </w:tc>
        <w:tc>
          <w:tcPr>
            <w:tcW w:w="8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1177</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520</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44%</w:t>
            </w:r>
          </w:p>
        </w:tc>
        <w:tc>
          <w:tcPr>
            <w:tcW w:w="69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368</w:t>
            </w:r>
          </w:p>
        </w:tc>
        <w:tc>
          <w:tcPr>
            <w:tcW w:w="7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31%</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289</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25%</w:t>
            </w:r>
          </w:p>
        </w:tc>
      </w:tr>
      <w:tr w:rsidR="002259B5" w:rsidRPr="00C262B4" w:rsidTr="002F0D29">
        <w:trPr>
          <w:trHeight w:val="288"/>
          <w:jc w:val="center"/>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b/>
                <w:bCs/>
                <w:color w:val="000000"/>
                <w:sz w:val="24"/>
                <w:szCs w:val="24"/>
              </w:rPr>
            </w:pPr>
            <w:r w:rsidRPr="00C262B4">
              <w:rPr>
                <w:rFonts w:ascii="Book Antiqua" w:hAnsi="Book Antiqua"/>
                <w:b/>
                <w:bCs/>
                <w:color w:val="000000"/>
                <w:sz w:val="24"/>
                <w:szCs w:val="24"/>
              </w:rPr>
              <w:t>Fall 2018</w:t>
            </w:r>
          </w:p>
        </w:tc>
        <w:tc>
          <w:tcPr>
            <w:tcW w:w="8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1054</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458</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43%</w:t>
            </w:r>
          </w:p>
        </w:tc>
        <w:tc>
          <w:tcPr>
            <w:tcW w:w="69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338</w:t>
            </w:r>
          </w:p>
        </w:tc>
        <w:tc>
          <w:tcPr>
            <w:tcW w:w="7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32%</w:t>
            </w:r>
          </w:p>
        </w:tc>
        <w:tc>
          <w:tcPr>
            <w:tcW w:w="6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258</w:t>
            </w:r>
          </w:p>
        </w:tc>
        <w:tc>
          <w:tcPr>
            <w:tcW w:w="7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59B5" w:rsidRPr="00C262B4" w:rsidRDefault="002259B5" w:rsidP="002F0D29">
            <w:pPr>
              <w:jc w:val="center"/>
              <w:rPr>
                <w:rFonts w:ascii="Book Antiqua" w:hAnsi="Book Antiqua"/>
                <w:color w:val="000000"/>
                <w:sz w:val="24"/>
                <w:szCs w:val="24"/>
              </w:rPr>
            </w:pPr>
            <w:r w:rsidRPr="00C262B4">
              <w:rPr>
                <w:rFonts w:ascii="Book Antiqua" w:hAnsi="Book Antiqua"/>
                <w:color w:val="000000"/>
                <w:sz w:val="24"/>
                <w:szCs w:val="24"/>
              </w:rPr>
              <w:t>24%</w:t>
            </w:r>
          </w:p>
        </w:tc>
      </w:tr>
    </w:tbl>
    <w:p w:rsidR="002259B5" w:rsidRPr="002259B5" w:rsidRDefault="002259B5" w:rsidP="002259B5">
      <w:pPr>
        <w:rPr>
          <w:rFonts w:ascii="Book Antiqua" w:hAnsi="Book Antiqua"/>
          <w:sz w:val="24"/>
          <w:szCs w:val="24"/>
        </w:rPr>
      </w:pPr>
    </w:p>
    <w:p w:rsidR="00DD0A54" w:rsidRDefault="00DD0A54" w:rsidP="00DD0A54">
      <w:pPr>
        <w:pStyle w:val="ListParagraph"/>
        <w:rPr>
          <w:rFonts w:ascii="Book Antiqua" w:hAnsi="Book Antiqua"/>
          <w:sz w:val="24"/>
          <w:szCs w:val="24"/>
        </w:rPr>
      </w:pPr>
    </w:p>
    <w:p w:rsidR="00494294" w:rsidRPr="00494294" w:rsidRDefault="00494294" w:rsidP="00494294">
      <w:pPr>
        <w:pStyle w:val="ListParagraph"/>
        <w:rPr>
          <w:rFonts w:ascii="Book Antiqua" w:hAnsi="Book Antiqua"/>
          <w:sz w:val="24"/>
          <w:szCs w:val="24"/>
        </w:rPr>
      </w:pPr>
    </w:p>
    <w:p w:rsidR="00494294" w:rsidRPr="00494294" w:rsidRDefault="00494294">
      <w:pPr>
        <w:rPr>
          <w:rFonts w:ascii="Book Antiqua" w:hAnsi="Book Antiqua"/>
          <w:sz w:val="24"/>
          <w:szCs w:val="24"/>
        </w:rPr>
      </w:pPr>
    </w:p>
    <w:p w:rsidR="00494294" w:rsidRPr="00494294" w:rsidRDefault="00494294">
      <w:pPr>
        <w:rPr>
          <w:rFonts w:ascii="Book Antiqua" w:hAnsi="Book Antiqua"/>
          <w:sz w:val="24"/>
          <w:szCs w:val="24"/>
        </w:rPr>
      </w:pPr>
    </w:p>
    <w:sectPr w:rsidR="00494294" w:rsidRPr="00494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3399"/>
    <w:multiLevelType w:val="hybridMultilevel"/>
    <w:tmpl w:val="E020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4"/>
    <w:rsid w:val="002259B5"/>
    <w:rsid w:val="00494294"/>
    <w:rsid w:val="00661A26"/>
    <w:rsid w:val="00741C71"/>
    <w:rsid w:val="007B5686"/>
    <w:rsid w:val="00DD0A54"/>
    <w:rsid w:val="00E71BEC"/>
    <w:rsid w:val="00F0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6AE3"/>
  <w15:chartTrackingRefBased/>
  <w15:docId w15:val="{0B7DF8DD-8EEB-4F48-95AD-A0B6698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94"/>
    <w:pPr>
      <w:ind w:left="720"/>
      <w:contextualSpacing/>
    </w:pPr>
  </w:style>
  <w:style w:type="table" w:styleId="TableGrid">
    <w:name w:val="Table Grid"/>
    <w:basedOn w:val="TableNormal"/>
    <w:uiPriority w:val="39"/>
    <w:rsid w:val="0022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Rogan</dc:creator>
  <cp:keywords/>
  <dc:description/>
  <cp:lastModifiedBy>Doreen Rogan</cp:lastModifiedBy>
  <cp:revision>4</cp:revision>
  <dcterms:created xsi:type="dcterms:W3CDTF">2019-04-18T14:41:00Z</dcterms:created>
  <dcterms:modified xsi:type="dcterms:W3CDTF">2019-05-02T13:40:00Z</dcterms:modified>
</cp:coreProperties>
</file>