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AD24" w14:textId="77777777" w:rsidR="00B9410E" w:rsidRPr="00352906" w:rsidRDefault="00352906" w:rsidP="00352906">
      <w:pPr>
        <w:jc w:val="center"/>
        <w:rPr>
          <w:b/>
          <w:sz w:val="32"/>
          <w:szCs w:val="32"/>
        </w:rPr>
      </w:pPr>
      <w:r w:rsidRPr="00352906">
        <w:rPr>
          <w:b/>
          <w:sz w:val="32"/>
          <w:szCs w:val="32"/>
        </w:rPr>
        <w:t>Connecting MCCS Strategic Goals with YCCC Strategic Goals (Directions)</w:t>
      </w:r>
    </w:p>
    <w:tbl>
      <w:tblPr>
        <w:tblStyle w:val="TableGrid"/>
        <w:tblW w:w="16768" w:type="dxa"/>
        <w:tblInd w:w="500" w:type="dxa"/>
        <w:tblLook w:val="04A0" w:firstRow="1" w:lastRow="0" w:firstColumn="1" w:lastColumn="0" w:noHBand="0" w:noVBand="1"/>
      </w:tblPr>
      <w:tblGrid>
        <w:gridCol w:w="4252"/>
        <w:gridCol w:w="4172"/>
        <w:gridCol w:w="4172"/>
        <w:gridCol w:w="4172"/>
      </w:tblGrid>
      <w:tr w:rsidR="00526F60" w:rsidRPr="00FB4410" w14:paraId="12B3AD27" w14:textId="15C2E3E1" w:rsidTr="00526F60">
        <w:tc>
          <w:tcPr>
            <w:tcW w:w="4252" w:type="dxa"/>
          </w:tcPr>
          <w:p w14:paraId="12B3AD26" w14:textId="77777777" w:rsidR="00526F60" w:rsidRPr="00FB4410" w:rsidRDefault="00526F60" w:rsidP="00352906">
            <w:pPr>
              <w:jc w:val="center"/>
              <w:rPr>
                <w:b/>
                <w:sz w:val="24"/>
                <w:szCs w:val="24"/>
              </w:rPr>
            </w:pPr>
            <w:r w:rsidRPr="00FB4410">
              <w:rPr>
                <w:b/>
                <w:sz w:val="24"/>
                <w:szCs w:val="24"/>
              </w:rPr>
              <w:t>Current YCCC Strategic Directions</w:t>
            </w:r>
          </w:p>
        </w:tc>
        <w:tc>
          <w:tcPr>
            <w:tcW w:w="4172" w:type="dxa"/>
          </w:tcPr>
          <w:p w14:paraId="02AF11A2" w14:textId="79ADE3C3" w:rsidR="00526F60" w:rsidRDefault="00526F60" w:rsidP="00352906">
            <w:pPr>
              <w:jc w:val="center"/>
              <w:rPr>
                <w:b/>
                <w:sz w:val="24"/>
                <w:szCs w:val="24"/>
              </w:rPr>
            </w:pPr>
            <w:r w:rsidRPr="00FB4410">
              <w:rPr>
                <w:b/>
                <w:sz w:val="24"/>
                <w:szCs w:val="24"/>
              </w:rPr>
              <w:t>MCCS Strategic Goals 2016-2020</w:t>
            </w:r>
          </w:p>
        </w:tc>
        <w:tc>
          <w:tcPr>
            <w:tcW w:w="4172" w:type="dxa"/>
          </w:tcPr>
          <w:p w14:paraId="1588C379" w14:textId="2CA55189" w:rsidR="00526F60" w:rsidRDefault="00526F60" w:rsidP="0035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YCCC Community Feedback (April 2015)</w:t>
            </w:r>
          </w:p>
        </w:tc>
        <w:tc>
          <w:tcPr>
            <w:tcW w:w="4172" w:type="dxa"/>
          </w:tcPr>
          <w:p w14:paraId="70ACEAE7" w14:textId="5DDA29F7" w:rsidR="00526F60" w:rsidRPr="00FB4410" w:rsidRDefault="00526F60" w:rsidP="0035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Draft YCCC Strategic Goals</w:t>
            </w:r>
          </w:p>
        </w:tc>
      </w:tr>
      <w:tr w:rsidR="00526F60" w:rsidRPr="00FB4410" w14:paraId="12B3AD2C" w14:textId="2037B5F0" w:rsidTr="00526F60">
        <w:trPr>
          <w:trHeight w:val="1385"/>
        </w:trPr>
        <w:tc>
          <w:tcPr>
            <w:tcW w:w="4252" w:type="dxa"/>
            <w:vAlign w:val="center"/>
          </w:tcPr>
          <w:p w14:paraId="12B3AD29" w14:textId="78D5EA84" w:rsidR="00526F60" w:rsidRPr="00665195" w:rsidRDefault="00526F60" w:rsidP="000E53F7">
            <w:pPr>
              <w:ind w:left="56"/>
              <w:rPr>
                <w:b/>
              </w:rPr>
            </w:pPr>
            <w:r w:rsidRPr="00665195">
              <w:rPr>
                <w:b/>
              </w:rPr>
              <w:t xml:space="preserve">SD1: </w:t>
            </w:r>
            <w:r w:rsidRPr="00665195">
              <w:t>Pursue educational excellence</w:t>
            </w:r>
            <w:r w:rsidR="00665195" w:rsidRPr="00665195">
              <w:t xml:space="preserve"> (moved)</w:t>
            </w:r>
          </w:p>
          <w:p w14:paraId="12B3AD2A" w14:textId="77777777" w:rsidR="00526F60" w:rsidRPr="00DD21B3" w:rsidRDefault="00526F60" w:rsidP="000E53F7">
            <w:pPr>
              <w:rPr>
                <w:b/>
              </w:rPr>
            </w:pPr>
          </w:p>
          <w:p w14:paraId="12B3AD2B" w14:textId="77777777" w:rsidR="00526F60" w:rsidRPr="00DD21B3" w:rsidRDefault="00526F60" w:rsidP="000E53F7">
            <w:pPr>
              <w:ind w:left="56"/>
            </w:pPr>
            <w:r w:rsidRPr="00DD21B3">
              <w:rPr>
                <w:b/>
              </w:rPr>
              <w:t>SD2:</w:t>
            </w:r>
            <w:r w:rsidRPr="00DD21B3">
              <w:t xml:space="preserve"> Promote student success, access, and engagement</w:t>
            </w:r>
          </w:p>
        </w:tc>
        <w:tc>
          <w:tcPr>
            <w:tcW w:w="4172" w:type="dxa"/>
            <w:vAlign w:val="center"/>
          </w:tcPr>
          <w:p w14:paraId="7D834040" w14:textId="1F07A2C8" w:rsidR="00526F60" w:rsidRPr="00600D83" w:rsidRDefault="00526F60" w:rsidP="00600D83">
            <w:r w:rsidRPr="00DD21B3">
              <w:rPr>
                <w:b/>
              </w:rPr>
              <w:t>Goal 1:</w:t>
            </w:r>
            <w:r w:rsidRPr="00DD21B3">
              <w:t xml:space="preserve"> Achieve student success through improved persistence, transfer, graduation and employment performance.</w:t>
            </w:r>
          </w:p>
        </w:tc>
        <w:tc>
          <w:tcPr>
            <w:tcW w:w="4172" w:type="dxa"/>
          </w:tcPr>
          <w:p w14:paraId="7F5309EC" w14:textId="77777777" w:rsidR="00172732" w:rsidRDefault="00172732" w:rsidP="00526F60">
            <w:pPr>
              <w:ind w:hanging="14"/>
              <w:rPr>
                <w:sz w:val="16"/>
                <w:szCs w:val="16"/>
              </w:rPr>
            </w:pPr>
          </w:p>
          <w:p w14:paraId="146A5D5B" w14:textId="548BE67C" w:rsidR="00526F60" w:rsidRPr="00526F60" w:rsidRDefault="00526F60" w:rsidP="00526F60">
            <w:pPr>
              <w:ind w:hanging="14"/>
              <w:rPr>
                <w:sz w:val="16"/>
                <w:szCs w:val="16"/>
              </w:rPr>
            </w:pPr>
            <w:r w:rsidRPr="00526F60">
              <w:rPr>
                <w:sz w:val="16"/>
                <w:szCs w:val="16"/>
              </w:rPr>
              <w:t>Identify skill and knowledge sets necessary to be successful in the workplace and/or the next level of education.  Information from selected stake holders will be collected to assess acquisition of necessary skills &amp; knowledge sets.</w:t>
            </w:r>
          </w:p>
          <w:p w14:paraId="16160056" w14:textId="77777777" w:rsidR="00526F60" w:rsidRPr="00526F60" w:rsidRDefault="00526F60" w:rsidP="00526F60">
            <w:pPr>
              <w:ind w:hanging="14"/>
              <w:rPr>
                <w:sz w:val="16"/>
                <w:szCs w:val="16"/>
              </w:rPr>
            </w:pPr>
          </w:p>
          <w:p w14:paraId="65C1FDB8" w14:textId="43C05FA0" w:rsidR="00526F60" w:rsidRPr="00526F60" w:rsidRDefault="00526F60" w:rsidP="00526F60">
            <w:pPr>
              <w:ind w:hanging="14"/>
              <w:rPr>
                <w:sz w:val="16"/>
                <w:szCs w:val="16"/>
              </w:rPr>
            </w:pPr>
            <w:r w:rsidRPr="00526F60">
              <w:rPr>
                <w:sz w:val="16"/>
                <w:szCs w:val="16"/>
              </w:rPr>
              <w:t>Engage students at point of entry and throughout their college experience, providing an environment that supports and enhances each student’s own career &amp; academic goals.  All departments will develop guidelines for student engagement for the lifecycle of their YCCC college experience including: point of entry, ongoing, and transitional.</w:t>
            </w:r>
          </w:p>
          <w:p w14:paraId="5BD3EB44" w14:textId="77777777" w:rsidR="00526F60" w:rsidRPr="00526F60" w:rsidRDefault="00526F60" w:rsidP="00526F60">
            <w:pPr>
              <w:ind w:hanging="14"/>
              <w:rPr>
                <w:sz w:val="16"/>
                <w:szCs w:val="16"/>
              </w:rPr>
            </w:pPr>
          </w:p>
          <w:p w14:paraId="551E93F7" w14:textId="6B8C7684" w:rsidR="00526F60" w:rsidRPr="00526F60" w:rsidRDefault="00526F60" w:rsidP="00526F60">
            <w:pPr>
              <w:ind w:hanging="14"/>
              <w:rPr>
                <w:sz w:val="16"/>
                <w:szCs w:val="16"/>
              </w:rPr>
            </w:pPr>
            <w:r w:rsidRPr="00526F60">
              <w:rPr>
                <w:sz w:val="16"/>
                <w:szCs w:val="16"/>
              </w:rPr>
              <w:t>Assess students’ needs and provide them with the tools and support they need to achieve their initial individual educational goal.   Measure institutional success by using aggregated data, surveys, and /or certifying bodies to determine overall success of students’ established initial goals.</w:t>
            </w:r>
          </w:p>
          <w:p w14:paraId="550FA3A1" w14:textId="77777777" w:rsidR="00526F60" w:rsidRPr="00526F60" w:rsidRDefault="00526F60" w:rsidP="00526F60">
            <w:pPr>
              <w:rPr>
                <w:sz w:val="16"/>
                <w:szCs w:val="16"/>
              </w:rPr>
            </w:pPr>
          </w:p>
          <w:p w14:paraId="2535B02D" w14:textId="77777777" w:rsidR="00526F60" w:rsidRPr="00A71913" w:rsidRDefault="00526F60" w:rsidP="00600D83">
            <w:pPr>
              <w:rPr>
                <w:b/>
                <w:sz w:val="16"/>
                <w:szCs w:val="16"/>
                <w:highlight w:val="yellow"/>
              </w:rPr>
            </w:pPr>
            <w:r w:rsidRPr="00A71913">
              <w:rPr>
                <w:b/>
                <w:sz w:val="16"/>
                <w:szCs w:val="16"/>
                <w:highlight w:val="yellow"/>
              </w:rPr>
              <w:t>Design and implement programs and initiatives for student success through identifying various pathways that define success at YCCC and training all employees in a common philosophy.</w:t>
            </w:r>
          </w:p>
          <w:p w14:paraId="564E3930" w14:textId="77777777" w:rsidR="00526F60" w:rsidRPr="00A71913" w:rsidRDefault="00526F60" w:rsidP="00600D83">
            <w:pPr>
              <w:rPr>
                <w:b/>
                <w:sz w:val="16"/>
                <w:szCs w:val="16"/>
                <w:highlight w:val="yellow"/>
              </w:rPr>
            </w:pPr>
          </w:p>
          <w:p w14:paraId="40512A48" w14:textId="68D54920" w:rsidR="00526F60" w:rsidRPr="00A71913" w:rsidRDefault="00526F60" w:rsidP="00172732">
            <w:pPr>
              <w:rPr>
                <w:b/>
                <w:sz w:val="16"/>
                <w:szCs w:val="16"/>
              </w:rPr>
            </w:pPr>
            <w:r w:rsidRPr="00A71913">
              <w:rPr>
                <w:b/>
                <w:sz w:val="16"/>
                <w:szCs w:val="16"/>
                <w:highlight w:val="yellow"/>
              </w:rPr>
              <w:t>Expand our definition of success to include students with intent other than graduation.  Create tools to measure and document student success based upon initial intent.  Each semester a</w:t>
            </w:r>
            <w:r w:rsidR="00172732" w:rsidRPr="00A71913">
              <w:rPr>
                <w:b/>
                <w:sz w:val="16"/>
                <w:szCs w:val="16"/>
                <w:highlight w:val="yellow"/>
              </w:rPr>
              <w:t>s student registers for classes the</w:t>
            </w:r>
            <w:r w:rsidRPr="00A71913">
              <w:rPr>
                <w:b/>
                <w:sz w:val="16"/>
                <w:szCs w:val="16"/>
                <w:highlight w:val="yellow"/>
              </w:rPr>
              <w:t xml:space="preserve"> system </w:t>
            </w:r>
            <w:r w:rsidR="00172732" w:rsidRPr="00A71913">
              <w:rPr>
                <w:b/>
                <w:sz w:val="16"/>
                <w:szCs w:val="16"/>
                <w:highlight w:val="yellow"/>
              </w:rPr>
              <w:t>could request</w:t>
            </w:r>
            <w:r w:rsidRPr="00A71913">
              <w:rPr>
                <w:b/>
                <w:sz w:val="16"/>
                <w:szCs w:val="16"/>
                <w:highlight w:val="yellow"/>
              </w:rPr>
              <w:t xml:space="preserve"> an update to “intent”</w:t>
            </w:r>
          </w:p>
          <w:p w14:paraId="5226666E" w14:textId="77777777" w:rsidR="00172732" w:rsidRDefault="00172732" w:rsidP="00526F60">
            <w:pPr>
              <w:rPr>
                <w:sz w:val="16"/>
                <w:szCs w:val="16"/>
              </w:rPr>
            </w:pPr>
          </w:p>
          <w:p w14:paraId="7C3E5BC2" w14:textId="77777777" w:rsidR="00526F60" w:rsidRDefault="00526F60" w:rsidP="00526F60">
            <w:pPr>
              <w:rPr>
                <w:sz w:val="16"/>
                <w:szCs w:val="16"/>
              </w:rPr>
            </w:pPr>
            <w:r w:rsidRPr="00526F60">
              <w:rPr>
                <w:sz w:val="16"/>
                <w:szCs w:val="16"/>
              </w:rPr>
              <w:t>Increase visib</w:t>
            </w:r>
            <w:r w:rsidR="00172732">
              <w:rPr>
                <w:sz w:val="16"/>
                <w:szCs w:val="16"/>
              </w:rPr>
              <w:t xml:space="preserve">ility and marketing initiatives.  </w:t>
            </w:r>
            <w:r w:rsidRPr="00526F60">
              <w:rPr>
                <w:sz w:val="16"/>
                <w:szCs w:val="16"/>
              </w:rPr>
              <w:t>Measure e</w:t>
            </w:r>
            <w:r w:rsidR="00172732">
              <w:rPr>
                <w:sz w:val="16"/>
                <w:szCs w:val="16"/>
              </w:rPr>
              <w:t xml:space="preserve">nrollment by program and cohort.  </w:t>
            </w:r>
            <w:r w:rsidRPr="00526F60">
              <w:rPr>
                <w:sz w:val="16"/>
                <w:szCs w:val="16"/>
              </w:rPr>
              <w:t>Increase application of males 18-30</w:t>
            </w:r>
            <w:r w:rsidR="00172732">
              <w:rPr>
                <w:sz w:val="16"/>
                <w:szCs w:val="16"/>
              </w:rPr>
              <w:t>.</w:t>
            </w:r>
          </w:p>
          <w:p w14:paraId="66161231" w14:textId="086FCDA8" w:rsidR="00172732" w:rsidRPr="00526F60" w:rsidRDefault="00172732" w:rsidP="00526F60">
            <w:pPr>
              <w:rPr>
                <w:sz w:val="16"/>
                <w:szCs w:val="16"/>
              </w:rPr>
            </w:pPr>
          </w:p>
        </w:tc>
        <w:tc>
          <w:tcPr>
            <w:tcW w:w="4172" w:type="dxa"/>
          </w:tcPr>
          <w:p w14:paraId="18FB575E" w14:textId="77777777" w:rsidR="00E864EF" w:rsidRDefault="00E864EF" w:rsidP="00600D83">
            <w:pPr>
              <w:rPr>
                <w:b/>
              </w:rPr>
            </w:pPr>
          </w:p>
          <w:p w14:paraId="6AAD8A5D" w14:textId="77777777" w:rsidR="00A71913" w:rsidRPr="00665195" w:rsidRDefault="00526F60" w:rsidP="00600D83">
            <w:pPr>
              <w:rPr>
                <w:b/>
                <w:color w:val="C0504D" w:themeColor="accent2"/>
              </w:rPr>
            </w:pPr>
            <w:r w:rsidRPr="00665195">
              <w:rPr>
                <w:b/>
                <w:color w:val="C0504D" w:themeColor="accent2"/>
              </w:rPr>
              <w:t xml:space="preserve">Pursue educational excellence by </w:t>
            </w:r>
            <w:r w:rsidR="00A71913" w:rsidRPr="00665195">
              <w:rPr>
                <w:b/>
                <w:color w:val="C0504D" w:themeColor="accent2"/>
              </w:rPr>
              <w:t xml:space="preserve">promoting and measuring </w:t>
            </w:r>
            <w:r w:rsidRPr="00665195">
              <w:rPr>
                <w:b/>
                <w:color w:val="C0504D" w:themeColor="accent2"/>
              </w:rPr>
              <w:t xml:space="preserve">student success </w:t>
            </w:r>
            <w:r w:rsidR="00A71913" w:rsidRPr="00665195">
              <w:rPr>
                <w:b/>
                <w:color w:val="C0504D" w:themeColor="accent2"/>
              </w:rPr>
              <w:t>in all forms.</w:t>
            </w:r>
          </w:p>
          <w:p w14:paraId="47B349F3" w14:textId="77777777" w:rsidR="00A71913" w:rsidRDefault="00A71913" w:rsidP="00600D83"/>
          <w:p w14:paraId="33590B45" w14:textId="034DE9CE" w:rsidR="00526F60" w:rsidRDefault="00A71913" w:rsidP="00600D83">
            <w:r>
              <w:t>(i.e.</w:t>
            </w:r>
            <w:r w:rsidR="00526F60" w:rsidRPr="00600D83">
              <w:t xml:space="preserve"> capturing intent of the individual and tracking the progression</w:t>
            </w:r>
            <w:r>
              <w:t xml:space="preserve"> and/or changes in that intent via </w:t>
            </w:r>
            <w:r w:rsidR="00526F60" w:rsidRPr="00600D83">
              <w:t>improved persistence, graduation, transfer, engagement, emp</w:t>
            </w:r>
            <w:bookmarkStart w:id="0" w:name="_GoBack"/>
            <w:bookmarkEnd w:id="0"/>
            <w:r w:rsidR="00526F60" w:rsidRPr="00600D83">
              <w:t>loyment etc.)</w:t>
            </w:r>
          </w:p>
          <w:p w14:paraId="5F0F32AA" w14:textId="77777777" w:rsidR="00A71913" w:rsidRDefault="00A71913" w:rsidP="00600D83"/>
          <w:p w14:paraId="651791C1" w14:textId="107E7A92" w:rsidR="00A71913" w:rsidRDefault="00A71913" w:rsidP="00600D83">
            <w:r>
              <w:t>(i.e. expanded program review criteria through transfer, employment, and persistence)</w:t>
            </w:r>
          </w:p>
          <w:p w14:paraId="2A52CD8C" w14:textId="77777777" w:rsidR="00A71913" w:rsidRDefault="00A71913" w:rsidP="00600D83"/>
          <w:p w14:paraId="45A430C7" w14:textId="77777777" w:rsidR="00A71913" w:rsidRDefault="00A71913" w:rsidP="00600D83">
            <w:pPr>
              <w:rPr>
                <w:b/>
                <w:color w:val="C00000"/>
              </w:rPr>
            </w:pPr>
          </w:p>
          <w:p w14:paraId="7A1219B9" w14:textId="77777777" w:rsidR="00A71913" w:rsidRDefault="00A71913" w:rsidP="00600D83">
            <w:pPr>
              <w:rPr>
                <w:b/>
                <w:color w:val="C00000"/>
              </w:rPr>
            </w:pPr>
          </w:p>
          <w:p w14:paraId="144B8930" w14:textId="3ABFAB29" w:rsidR="00A71913" w:rsidRPr="00600D83" w:rsidRDefault="00A71913" w:rsidP="00600D83"/>
        </w:tc>
      </w:tr>
      <w:tr w:rsidR="00526F60" w:rsidRPr="00FB4410" w14:paraId="12B3AD31" w14:textId="705495CF" w:rsidTr="00526F60">
        <w:trPr>
          <w:trHeight w:val="1429"/>
        </w:trPr>
        <w:tc>
          <w:tcPr>
            <w:tcW w:w="4252" w:type="dxa"/>
            <w:vAlign w:val="center"/>
          </w:tcPr>
          <w:p w14:paraId="12B3AD2E" w14:textId="1EA1FEA9" w:rsidR="00526F60" w:rsidRPr="00DD21B3" w:rsidRDefault="00526F60" w:rsidP="00352906">
            <w:pPr>
              <w:ind w:left="56"/>
            </w:pPr>
            <w:r w:rsidRPr="00DD21B3">
              <w:rPr>
                <w:b/>
              </w:rPr>
              <w:t>SD4:</w:t>
            </w:r>
            <w:r w:rsidRPr="00DD21B3">
              <w:t xml:space="preserve"> Expand career and workforce development programs</w:t>
            </w:r>
          </w:p>
          <w:p w14:paraId="12B3AD2F" w14:textId="77777777" w:rsidR="00526F60" w:rsidRPr="00DD21B3" w:rsidRDefault="00526F60" w:rsidP="00352906">
            <w:pPr>
              <w:ind w:left="56"/>
            </w:pPr>
          </w:p>
          <w:p w14:paraId="12B3AD30" w14:textId="77777777" w:rsidR="00526F60" w:rsidRPr="00DD21B3" w:rsidRDefault="00526F60" w:rsidP="00352906">
            <w:pPr>
              <w:ind w:left="56"/>
            </w:pPr>
            <w:r w:rsidRPr="00DD21B3">
              <w:rPr>
                <w:b/>
              </w:rPr>
              <w:t>SD8:</w:t>
            </w:r>
            <w:r w:rsidRPr="00DD21B3">
              <w:t xml:space="preserve"> Promote community outreach</w:t>
            </w:r>
          </w:p>
        </w:tc>
        <w:tc>
          <w:tcPr>
            <w:tcW w:w="4172" w:type="dxa"/>
            <w:vAlign w:val="center"/>
          </w:tcPr>
          <w:p w14:paraId="7BCE7421" w14:textId="02FC9EB6" w:rsidR="00526F60" w:rsidRPr="00600D83" w:rsidRDefault="00526F60" w:rsidP="00600D83">
            <w:r w:rsidRPr="00DD21B3">
              <w:rPr>
                <w:b/>
              </w:rPr>
              <w:t>Goal 2:</w:t>
            </w:r>
            <w:r w:rsidRPr="00DD21B3">
              <w:t xml:space="preserve"> Support economic and workforce development</w:t>
            </w:r>
          </w:p>
        </w:tc>
        <w:tc>
          <w:tcPr>
            <w:tcW w:w="4172" w:type="dxa"/>
          </w:tcPr>
          <w:p w14:paraId="6EFF735C" w14:textId="77777777" w:rsidR="00172732" w:rsidRDefault="00172732" w:rsidP="00172732">
            <w:pPr>
              <w:rPr>
                <w:sz w:val="16"/>
                <w:szCs w:val="16"/>
              </w:rPr>
            </w:pPr>
          </w:p>
          <w:p w14:paraId="560DFE52" w14:textId="63E250B0" w:rsidR="00172732" w:rsidRPr="00172732" w:rsidRDefault="00172732" w:rsidP="00600D83">
            <w:pPr>
              <w:rPr>
                <w:sz w:val="16"/>
                <w:szCs w:val="16"/>
              </w:rPr>
            </w:pPr>
            <w:r w:rsidRPr="00F62985">
              <w:rPr>
                <w:b/>
                <w:sz w:val="16"/>
                <w:szCs w:val="16"/>
                <w:highlight w:val="yellow"/>
              </w:rPr>
              <w:t>Increase college visibility in the York County Business and Industry community</w:t>
            </w:r>
            <w:r w:rsidRPr="00F62985">
              <w:rPr>
                <w:b/>
                <w:sz w:val="16"/>
                <w:szCs w:val="16"/>
              </w:rPr>
              <w:t>.</w:t>
            </w:r>
            <w:r w:rsidRPr="00172732">
              <w:rPr>
                <w:sz w:val="16"/>
                <w:szCs w:val="16"/>
              </w:rPr>
              <w:t xml:space="preserve">  Develop a quarterly and annual business/industry partnership plan to include sales, marketing, needs assessment, and curriculum development</w:t>
            </w:r>
          </w:p>
        </w:tc>
        <w:tc>
          <w:tcPr>
            <w:tcW w:w="4172" w:type="dxa"/>
          </w:tcPr>
          <w:p w14:paraId="7D536F56" w14:textId="77777777" w:rsidR="00E864EF" w:rsidRDefault="00E864EF" w:rsidP="00600D83">
            <w:pPr>
              <w:rPr>
                <w:b/>
              </w:rPr>
            </w:pPr>
          </w:p>
          <w:p w14:paraId="4766FBB8" w14:textId="799094C8" w:rsidR="004C5C0F" w:rsidRPr="00665195" w:rsidRDefault="004C5C0F" w:rsidP="00600D83">
            <w:pPr>
              <w:rPr>
                <w:b/>
                <w:color w:val="C0504D" w:themeColor="accent2"/>
              </w:rPr>
            </w:pPr>
            <w:r w:rsidRPr="00665195">
              <w:rPr>
                <w:b/>
                <w:color w:val="C0504D" w:themeColor="accent2"/>
              </w:rPr>
              <w:t>Enhance collaboration and strengthen connections to meet community needs.</w:t>
            </w:r>
          </w:p>
          <w:p w14:paraId="548F9FAD" w14:textId="77777777" w:rsidR="004C5C0F" w:rsidRDefault="004C5C0F" w:rsidP="00600D83">
            <w:r>
              <w:t xml:space="preserve"> </w:t>
            </w:r>
          </w:p>
          <w:p w14:paraId="09481635" w14:textId="77777777" w:rsidR="00526F60" w:rsidRDefault="004C5C0F" w:rsidP="00600D83">
            <w:r>
              <w:t>(i.e. targeted marketing, increased visibility, and diverse/innovative programming)</w:t>
            </w:r>
          </w:p>
          <w:p w14:paraId="780411DE" w14:textId="68D61FD8" w:rsidR="00F62985" w:rsidRPr="00600D83" w:rsidRDefault="00F62985" w:rsidP="00600D83"/>
        </w:tc>
      </w:tr>
      <w:tr w:rsidR="00526F60" w:rsidRPr="00FB4410" w14:paraId="12B3AD38" w14:textId="4DC2E5D1" w:rsidTr="00526F60">
        <w:trPr>
          <w:trHeight w:val="2239"/>
        </w:trPr>
        <w:tc>
          <w:tcPr>
            <w:tcW w:w="4252" w:type="dxa"/>
            <w:vAlign w:val="center"/>
          </w:tcPr>
          <w:p w14:paraId="12B3AD33" w14:textId="28711A7E" w:rsidR="00526F60" w:rsidRPr="00DD21B3" w:rsidRDefault="00526F60" w:rsidP="00352906">
            <w:pPr>
              <w:ind w:left="56"/>
              <w:rPr>
                <w:strike/>
              </w:rPr>
            </w:pPr>
            <w:r w:rsidRPr="00DD21B3">
              <w:rPr>
                <w:b/>
                <w:strike/>
              </w:rPr>
              <w:lastRenderedPageBreak/>
              <w:t>SD1:</w:t>
            </w:r>
            <w:r w:rsidRPr="00DD21B3">
              <w:rPr>
                <w:strike/>
              </w:rPr>
              <w:t xml:space="preserve"> Pursue educational excellence</w:t>
            </w:r>
          </w:p>
          <w:p w14:paraId="12B3AD34" w14:textId="77777777" w:rsidR="00526F60" w:rsidRPr="00DD21B3" w:rsidRDefault="00526F60" w:rsidP="00352906">
            <w:pPr>
              <w:ind w:left="56"/>
            </w:pPr>
          </w:p>
          <w:p w14:paraId="12B3AD35" w14:textId="77777777" w:rsidR="00526F60" w:rsidRPr="00DD21B3" w:rsidRDefault="00526F60" w:rsidP="00352906">
            <w:pPr>
              <w:ind w:left="56"/>
            </w:pPr>
            <w:r w:rsidRPr="00DD21B3">
              <w:rPr>
                <w:b/>
              </w:rPr>
              <w:t>SD6:</w:t>
            </w:r>
            <w:r w:rsidRPr="00DD21B3">
              <w:t xml:space="preserve"> Develop appropriate technology to support growth</w:t>
            </w:r>
          </w:p>
          <w:p w14:paraId="12B3AD36" w14:textId="77777777" w:rsidR="00526F60" w:rsidRPr="00DD21B3" w:rsidRDefault="00526F60" w:rsidP="00352906">
            <w:pPr>
              <w:ind w:left="56"/>
            </w:pPr>
          </w:p>
          <w:p w14:paraId="12B3AD37" w14:textId="77777777" w:rsidR="00526F60" w:rsidRPr="00DD21B3" w:rsidRDefault="00526F60" w:rsidP="00352906">
            <w:pPr>
              <w:ind w:left="56"/>
            </w:pPr>
            <w:r w:rsidRPr="00DD21B3">
              <w:rPr>
                <w:b/>
              </w:rPr>
              <w:t>SD7:</w:t>
            </w:r>
            <w:r w:rsidRPr="00DD21B3">
              <w:t xml:space="preserve"> Develop the Wells campus physical environment to support growth</w:t>
            </w:r>
          </w:p>
        </w:tc>
        <w:tc>
          <w:tcPr>
            <w:tcW w:w="4172" w:type="dxa"/>
            <w:vAlign w:val="center"/>
          </w:tcPr>
          <w:p w14:paraId="47E04082" w14:textId="30616D9B" w:rsidR="00526F60" w:rsidRPr="00600D83" w:rsidRDefault="00526F60" w:rsidP="00DD21B3">
            <w:pPr>
              <w:ind w:left="56"/>
              <w:rPr>
                <w:b/>
                <w:color w:val="C00000"/>
              </w:rPr>
            </w:pPr>
            <w:r w:rsidRPr="00DD21B3">
              <w:rPr>
                <w:b/>
              </w:rPr>
              <w:t>Goal 3:</w:t>
            </w:r>
            <w:r w:rsidRPr="00DD21B3">
              <w:t xml:space="preserve"> Invest in college classroom equipment, facilities, and programs</w:t>
            </w:r>
          </w:p>
        </w:tc>
        <w:tc>
          <w:tcPr>
            <w:tcW w:w="4172" w:type="dxa"/>
          </w:tcPr>
          <w:p w14:paraId="171A8A3B" w14:textId="3A4A1A50" w:rsidR="00526F60" w:rsidRPr="00600D83" w:rsidRDefault="00526F60" w:rsidP="00DD21B3">
            <w:pPr>
              <w:ind w:left="56"/>
              <w:rPr>
                <w:b/>
                <w:color w:val="C00000"/>
              </w:rPr>
            </w:pPr>
          </w:p>
        </w:tc>
        <w:tc>
          <w:tcPr>
            <w:tcW w:w="4172" w:type="dxa"/>
          </w:tcPr>
          <w:p w14:paraId="04E32D4F" w14:textId="77777777" w:rsidR="00E864EF" w:rsidRDefault="00E864EF" w:rsidP="00E864EF">
            <w:pPr>
              <w:rPr>
                <w:bCs/>
              </w:rPr>
            </w:pPr>
          </w:p>
          <w:p w14:paraId="60911EE1" w14:textId="77777777" w:rsidR="00E864EF" w:rsidRPr="00665195" w:rsidRDefault="00E864EF" w:rsidP="00E864EF">
            <w:pPr>
              <w:rPr>
                <w:b/>
                <w:bCs/>
                <w:color w:val="C0504D" w:themeColor="accent2"/>
              </w:rPr>
            </w:pPr>
            <w:r w:rsidRPr="00665195">
              <w:rPr>
                <w:b/>
                <w:bCs/>
                <w:color w:val="C0504D" w:themeColor="accent2"/>
              </w:rPr>
              <w:t>Maintain and advance our technological and physical infrastructures to meet the needs of the college community</w:t>
            </w:r>
          </w:p>
          <w:p w14:paraId="3A5A928D" w14:textId="77777777" w:rsidR="00E864EF" w:rsidRPr="00E864EF" w:rsidRDefault="00E864EF" w:rsidP="00E864EF">
            <w:pPr>
              <w:rPr>
                <w:bCs/>
              </w:rPr>
            </w:pPr>
          </w:p>
          <w:p w14:paraId="3FB50BE1" w14:textId="77777777" w:rsidR="00E864EF" w:rsidRPr="00E864EF" w:rsidRDefault="00E864EF" w:rsidP="00E864EF">
            <w:pPr>
              <w:rPr>
                <w:bCs/>
              </w:rPr>
            </w:pPr>
            <w:r w:rsidRPr="00E864EF">
              <w:rPr>
                <w:bCs/>
              </w:rPr>
              <w:t>(i.e. create long-term renovation plan, implement technology fee structure)</w:t>
            </w:r>
          </w:p>
          <w:p w14:paraId="48F750C7" w14:textId="0ED01A64" w:rsidR="00526F60" w:rsidRPr="00600D83" w:rsidRDefault="00526F60" w:rsidP="00DD21B3">
            <w:pPr>
              <w:ind w:left="56"/>
              <w:rPr>
                <w:b/>
                <w:strike/>
              </w:rPr>
            </w:pPr>
          </w:p>
        </w:tc>
      </w:tr>
      <w:tr w:rsidR="00526F60" w:rsidRPr="00FB4410" w14:paraId="12B3AD3B" w14:textId="19550AFD" w:rsidTr="00526F60">
        <w:trPr>
          <w:trHeight w:val="1259"/>
        </w:trPr>
        <w:tc>
          <w:tcPr>
            <w:tcW w:w="4252" w:type="dxa"/>
            <w:vAlign w:val="center"/>
          </w:tcPr>
          <w:p w14:paraId="12B3AD3A" w14:textId="77777777" w:rsidR="00526F60" w:rsidRPr="00DD21B3" w:rsidRDefault="00526F60" w:rsidP="00352906">
            <w:pPr>
              <w:ind w:left="56"/>
            </w:pPr>
            <w:r w:rsidRPr="00DD21B3">
              <w:rPr>
                <w:rFonts w:eastAsia="Times New Roman" w:cs="Times New Roman"/>
                <w:b/>
                <w:bCs/>
                <w:spacing w:val="1"/>
              </w:rPr>
              <w:t>SD5:</w:t>
            </w:r>
            <w:r w:rsidRPr="00DD21B3">
              <w:rPr>
                <w:rFonts w:eastAsia="Times New Roman" w:cs="Times New Roman"/>
                <w:bCs/>
                <w:spacing w:val="1"/>
              </w:rPr>
              <w:t xml:space="preserve"> En</w:t>
            </w:r>
            <w:r w:rsidRPr="00DD21B3">
              <w:rPr>
                <w:rFonts w:eastAsia="Times New Roman" w:cs="Times New Roman"/>
                <w:bCs/>
              </w:rPr>
              <w:t>s</w:t>
            </w:r>
            <w:r w:rsidRPr="00DD21B3">
              <w:rPr>
                <w:rFonts w:eastAsia="Times New Roman" w:cs="Times New Roman"/>
                <w:bCs/>
                <w:spacing w:val="1"/>
              </w:rPr>
              <w:t>u</w:t>
            </w:r>
            <w:r w:rsidRPr="00DD21B3">
              <w:rPr>
                <w:rFonts w:eastAsia="Times New Roman" w:cs="Times New Roman"/>
                <w:bCs/>
              </w:rPr>
              <w:t>re reso</w:t>
            </w:r>
            <w:r w:rsidRPr="00DD21B3">
              <w:rPr>
                <w:rFonts w:eastAsia="Times New Roman" w:cs="Times New Roman"/>
                <w:bCs/>
                <w:spacing w:val="1"/>
              </w:rPr>
              <w:t>u</w:t>
            </w:r>
            <w:r w:rsidRPr="00DD21B3">
              <w:rPr>
                <w:rFonts w:eastAsia="Times New Roman" w:cs="Times New Roman"/>
                <w:bCs/>
              </w:rPr>
              <w:t xml:space="preserve">rce </w:t>
            </w:r>
            <w:r w:rsidRPr="00DD21B3">
              <w:rPr>
                <w:rFonts w:eastAsia="Times New Roman" w:cs="Times New Roman"/>
                <w:bCs/>
                <w:spacing w:val="2"/>
              </w:rPr>
              <w:t>s</w:t>
            </w:r>
            <w:r w:rsidRPr="00DD21B3">
              <w:rPr>
                <w:rFonts w:eastAsia="Times New Roman" w:cs="Times New Roman"/>
                <w:bCs/>
              </w:rPr>
              <w:t>t</w:t>
            </w:r>
            <w:r w:rsidRPr="00DD21B3">
              <w:rPr>
                <w:rFonts w:eastAsia="Times New Roman" w:cs="Times New Roman"/>
                <w:bCs/>
                <w:spacing w:val="1"/>
              </w:rPr>
              <w:t>e</w:t>
            </w:r>
            <w:r w:rsidRPr="00DD21B3">
              <w:rPr>
                <w:rFonts w:eastAsia="Times New Roman" w:cs="Times New Roman"/>
                <w:bCs/>
                <w:spacing w:val="2"/>
              </w:rPr>
              <w:t>w</w:t>
            </w:r>
            <w:r w:rsidRPr="00DD21B3">
              <w:rPr>
                <w:rFonts w:eastAsia="Times New Roman" w:cs="Times New Roman"/>
                <w:bCs/>
              </w:rPr>
              <w:t>ar</w:t>
            </w:r>
            <w:r w:rsidRPr="00DD21B3">
              <w:rPr>
                <w:rFonts w:eastAsia="Times New Roman" w:cs="Times New Roman"/>
                <w:bCs/>
                <w:spacing w:val="1"/>
              </w:rPr>
              <w:t>d</w:t>
            </w:r>
            <w:r w:rsidRPr="00DD21B3">
              <w:rPr>
                <w:rFonts w:eastAsia="Times New Roman" w:cs="Times New Roman"/>
                <w:bCs/>
              </w:rPr>
              <w:t>s</w:t>
            </w:r>
            <w:r w:rsidRPr="00DD21B3">
              <w:rPr>
                <w:rFonts w:eastAsia="Times New Roman" w:cs="Times New Roman"/>
                <w:bCs/>
                <w:spacing w:val="1"/>
              </w:rPr>
              <w:t>h</w:t>
            </w:r>
            <w:r w:rsidRPr="00DD21B3">
              <w:rPr>
                <w:rFonts w:eastAsia="Times New Roman" w:cs="Times New Roman"/>
                <w:bCs/>
                <w:spacing w:val="-2"/>
              </w:rPr>
              <w:t>i</w:t>
            </w:r>
            <w:r w:rsidRPr="00DD21B3">
              <w:rPr>
                <w:rFonts w:eastAsia="Times New Roman" w:cs="Times New Roman"/>
                <w:bCs/>
              </w:rPr>
              <w:t>p</w:t>
            </w:r>
            <w:r w:rsidRPr="00DD21B3">
              <w:rPr>
                <w:rFonts w:eastAsia="Times New Roman" w:cs="Times New Roman"/>
                <w:bCs/>
                <w:spacing w:val="1"/>
              </w:rPr>
              <w:t xml:space="preserve"> </w:t>
            </w:r>
            <w:r w:rsidRPr="00DD21B3">
              <w:rPr>
                <w:rFonts w:eastAsia="Times New Roman" w:cs="Times New Roman"/>
                <w:bCs/>
              </w:rPr>
              <w:t>and</w:t>
            </w:r>
            <w:r w:rsidRPr="00DD21B3">
              <w:rPr>
                <w:rFonts w:eastAsia="Times New Roman" w:cs="Times New Roman"/>
                <w:bCs/>
                <w:spacing w:val="1"/>
              </w:rPr>
              <w:t xml:space="preserve"> f</w:t>
            </w:r>
            <w:r w:rsidRPr="00DD21B3">
              <w:rPr>
                <w:rFonts w:eastAsia="Times New Roman" w:cs="Times New Roman"/>
                <w:bCs/>
                <w:spacing w:val="-2"/>
              </w:rPr>
              <w:t>i</w:t>
            </w:r>
            <w:r w:rsidRPr="00DD21B3">
              <w:rPr>
                <w:rFonts w:eastAsia="Times New Roman" w:cs="Times New Roman"/>
                <w:bCs/>
                <w:spacing w:val="1"/>
              </w:rPr>
              <w:t>n</w:t>
            </w:r>
            <w:r w:rsidRPr="00DD21B3">
              <w:rPr>
                <w:rFonts w:eastAsia="Times New Roman" w:cs="Times New Roman"/>
                <w:bCs/>
              </w:rPr>
              <w:t>a</w:t>
            </w:r>
            <w:r w:rsidRPr="00DD21B3">
              <w:rPr>
                <w:rFonts w:eastAsia="Times New Roman" w:cs="Times New Roman"/>
                <w:bCs/>
                <w:spacing w:val="1"/>
              </w:rPr>
              <w:t>n</w:t>
            </w:r>
            <w:r w:rsidRPr="00DD21B3">
              <w:rPr>
                <w:rFonts w:eastAsia="Times New Roman" w:cs="Times New Roman"/>
                <w:bCs/>
                <w:spacing w:val="-1"/>
              </w:rPr>
              <w:t>c</w:t>
            </w:r>
            <w:r w:rsidRPr="00DD21B3">
              <w:rPr>
                <w:rFonts w:eastAsia="Times New Roman" w:cs="Times New Roman"/>
                <w:bCs/>
              </w:rPr>
              <w:t>ial</w:t>
            </w:r>
            <w:r w:rsidRPr="00DD21B3">
              <w:rPr>
                <w:rFonts w:eastAsia="Times New Roman" w:cs="Times New Roman"/>
                <w:bCs/>
                <w:spacing w:val="-2"/>
              </w:rPr>
              <w:t xml:space="preserve"> </w:t>
            </w:r>
            <w:r w:rsidRPr="00DD21B3">
              <w:rPr>
                <w:rFonts w:eastAsia="Times New Roman" w:cs="Times New Roman"/>
                <w:bCs/>
              </w:rPr>
              <w:t>stab</w:t>
            </w:r>
            <w:r w:rsidRPr="00DD21B3">
              <w:rPr>
                <w:rFonts w:eastAsia="Times New Roman" w:cs="Times New Roman"/>
                <w:bCs/>
                <w:spacing w:val="1"/>
              </w:rPr>
              <w:t>i</w:t>
            </w:r>
            <w:r w:rsidRPr="00DD21B3">
              <w:rPr>
                <w:rFonts w:eastAsia="Times New Roman" w:cs="Times New Roman"/>
                <w:bCs/>
              </w:rPr>
              <w:t>l</w:t>
            </w:r>
            <w:r w:rsidRPr="00DD21B3">
              <w:rPr>
                <w:rFonts w:eastAsia="Times New Roman" w:cs="Times New Roman"/>
                <w:bCs/>
                <w:spacing w:val="1"/>
              </w:rPr>
              <w:t>i</w:t>
            </w:r>
            <w:r w:rsidRPr="00DD21B3">
              <w:rPr>
                <w:rFonts w:eastAsia="Times New Roman" w:cs="Times New Roman"/>
                <w:bCs/>
              </w:rPr>
              <w:t>ty</w:t>
            </w:r>
          </w:p>
        </w:tc>
        <w:tc>
          <w:tcPr>
            <w:tcW w:w="4172" w:type="dxa"/>
            <w:vAlign w:val="center"/>
          </w:tcPr>
          <w:p w14:paraId="034B017F" w14:textId="24B6A3B6" w:rsidR="00526F60" w:rsidRPr="00600D83" w:rsidRDefault="00526F60" w:rsidP="00600D83">
            <w:pPr>
              <w:rPr>
                <w:rFonts w:eastAsia="Times New Roman" w:cs="Times New Roman"/>
                <w:bCs/>
                <w:spacing w:val="1"/>
              </w:rPr>
            </w:pPr>
            <w:r w:rsidRPr="00DD21B3">
              <w:rPr>
                <w:b/>
              </w:rPr>
              <w:t>Goal 4</w:t>
            </w:r>
            <w:r w:rsidRPr="00DD21B3">
              <w:t>: Maintain a high standard of accountability in all programs and services offered throughout the MCCS.</w:t>
            </w:r>
          </w:p>
        </w:tc>
        <w:tc>
          <w:tcPr>
            <w:tcW w:w="4172" w:type="dxa"/>
          </w:tcPr>
          <w:p w14:paraId="6D73AB9B" w14:textId="77777777" w:rsidR="00172732" w:rsidRDefault="00172732" w:rsidP="00172732">
            <w:pPr>
              <w:rPr>
                <w:sz w:val="16"/>
                <w:szCs w:val="16"/>
              </w:rPr>
            </w:pPr>
          </w:p>
          <w:p w14:paraId="4223C645" w14:textId="302BED1A" w:rsidR="00526F60" w:rsidRDefault="00172732" w:rsidP="00600D83">
            <w:pPr>
              <w:rPr>
                <w:sz w:val="16"/>
                <w:szCs w:val="16"/>
              </w:rPr>
            </w:pPr>
            <w:r w:rsidRPr="00172732">
              <w:rPr>
                <w:sz w:val="16"/>
                <w:szCs w:val="16"/>
              </w:rPr>
              <w:t xml:space="preserve">Design and implement a consistent format for the </w:t>
            </w:r>
            <w:r w:rsidRPr="00665195">
              <w:rPr>
                <w:b/>
                <w:sz w:val="16"/>
                <w:szCs w:val="16"/>
                <w:highlight w:val="yellow"/>
              </w:rPr>
              <w:t>regular assessment and evaluation</w:t>
            </w:r>
            <w:r w:rsidRPr="00665195">
              <w:rPr>
                <w:b/>
                <w:sz w:val="16"/>
                <w:szCs w:val="16"/>
              </w:rPr>
              <w:t xml:space="preserve"> </w:t>
            </w:r>
            <w:r w:rsidRPr="00172732">
              <w:rPr>
                <w:sz w:val="16"/>
                <w:szCs w:val="16"/>
              </w:rPr>
              <w:t>of all faculty and staff.  Set a goal of evaluating and/or assessing a minimum of 80% of faculty and staff by a given time</w:t>
            </w:r>
            <w:r>
              <w:rPr>
                <w:sz w:val="16"/>
                <w:szCs w:val="16"/>
              </w:rPr>
              <w:t>.</w:t>
            </w:r>
          </w:p>
          <w:p w14:paraId="57A727C3" w14:textId="098B5AB7" w:rsidR="00172732" w:rsidRPr="00172732" w:rsidRDefault="00172732" w:rsidP="00600D83">
            <w:pPr>
              <w:rPr>
                <w:sz w:val="16"/>
                <w:szCs w:val="16"/>
              </w:rPr>
            </w:pPr>
          </w:p>
        </w:tc>
        <w:tc>
          <w:tcPr>
            <w:tcW w:w="4172" w:type="dxa"/>
          </w:tcPr>
          <w:p w14:paraId="1A4DD4F1" w14:textId="77777777" w:rsidR="00E864EF" w:rsidRDefault="00E864EF" w:rsidP="00600D83">
            <w:pPr>
              <w:rPr>
                <w:rFonts w:eastAsia="Times New Roman" w:cs="Times New Roman"/>
                <w:bCs/>
                <w:spacing w:val="1"/>
              </w:rPr>
            </w:pPr>
          </w:p>
          <w:p w14:paraId="727FDCAF" w14:textId="77777777" w:rsidR="00526F60" w:rsidRPr="00665195" w:rsidRDefault="00F62985" w:rsidP="00600D83">
            <w:pPr>
              <w:rPr>
                <w:rFonts w:eastAsia="Times New Roman" w:cs="Times New Roman"/>
                <w:b/>
                <w:bCs/>
                <w:color w:val="C0504D" w:themeColor="accent2"/>
                <w:spacing w:val="1"/>
              </w:rPr>
            </w:pPr>
            <w:r w:rsidRPr="00665195">
              <w:rPr>
                <w:rFonts w:eastAsia="Times New Roman" w:cs="Times New Roman"/>
                <w:b/>
                <w:bCs/>
                <w:color w:val="C0504D" w:themeColor="accent2"/>
                <w:spacing w:val="1"/>
              </w:rPr>
              <w:t xml:space="preserve">Continually assess and improve </w:t>
            </w:r>
            <w:r w:rsidR="00526F60" w:rsidRPr="00665195">
              <w:rPr>
                <w:rFonts w:eastAsia="Times New Roman" w:cs="Times New Roman"/>
                <w:b/>
                <w:bCs/>
                <w:color w:val="C0504D" w:themeColor="accent2"/>
                <w:spacing w:val="1"/>
              </w:rPr>
              <w:t>accountability and resource stewardsh</w:t>
            </w:r>
            <w:r w:rsidRPr="00665195">
              <w:rPr>
                <w:rFonts w:eastAsia="Times New Roman" w:cs="Times New Roman"/>
                <w:b/>
                <w:bCs/>
                <w:color w:val="C0504D" w:themeColor="accent2"/>
                <w:spacing w:val="1"/>
              </w:rPr>
              <w:t>ip focused on efficiency and effectiveness.</w:t>
            </w:r>
          </w:p>
          <w:p w14:paraId="3737DD14" w14:textId="77777777" w:rsidR="00F62985" w:rsidRDefault="00F62985" w:rsidP="00600D83">
            <w:pPr>
              <w:rPr>
                <w:rFonts w:eastAsia="Times New Roman" w:cs="Times New Roman"/>
                <w:bCs/>
                <w:spacing w:val="1"/>
              </w:rPr>
            </w:pPr>
          </w:p>
          <w:p w14:paraId="609DB1D3" w14:textId="5EC63893" w:rsidR="00F62985" w:rsidRDefault="00F62985" w:rsidP="00600D83">
            <w:pPr>
              <w:rPr>
                <w:rFonts w:eastAsia="Times New Roman" w:cs="Times New Roman"/>
                <w:bCs/>
                <w:spacing w:val="1"/>
              </w:rPr>
            </w:pPr>
            <w:r>
              <w:rPr>
                <w:rFonts w:eastAsia="Times New Roman" w:cs="Times New Roman"/>
                <w:bCs/>
                <w:spacing w:val="1"/>
              </w:rPr>
              <w:t>(i.e. proactive budgeting, categorical finances, procurement processes, regulatory compliance, and OPEGA)</w:t>
            </w:r>
          </w:p>
          <w:p w14:paraId="6E934BAC" w14:textId="3B87B7A9" w:rsidR="00F62985" w:rsidRPr="00600D83" w:rsidRDefault="00F62985" w:rsidP="00600D83">
            <w:pPr>
              <w:rPr>
                <w:rFonts w:eastAsia="Times New Roman" w:cs="Times New Roman"/>
                <w:bCs/>
                <w:spacing w:val="1"/>
              </w:rPr>
            </w:pPr>
          </w:p>
        </w:tc>
      </w:tr>
      <w:tr w:rsidR="00526F60" w:rsidRPr="00FB4410" w14:paraId="12B3AD3E" w14:textId="0814F188" w:rsidTr="00526F60">
        <w:trPr>
          <w:trHeight w:val="890"/>
        </w:trPr>
        <w:tc>
          <w:tcPr>
            <w:tcW w:w="4252" w:type="dxa"/>
            <w:vAlign w:val="center"/>
          </w:tcPr>
          <w:p w14:paraId="12B3AD3D" w14:textId="1CBBC6EB" w:rsidR="00526F60" w:rsidRPr="00DD21B3" w:rsidRDefault="00526F60" w:rsidP="00352906">
            <w:pPr>
              <w:ind w:left="56"/>
              <w:rPr>
                <w:rFonts w:eastAsia="Times New Roman" w:cs="Times New Roman"/>
                <w:bCs/>
                <w:strike/>
              </w:rPr>
            </w:pPr>
            <w:r w:rsidRPr="00DD21B3">
              <w:rPr>
                <w:rFonts w:eastAsia="Times New Roman" w:cs="Times New Roman"/>
                <w:b/>
                <w:bCs/>
                <w:strike/>
                <w:spacing w:val="-3"/>
              </w:rPr>
              <w:t>SD3:</w:t>
            </w:r>
            <w:r w:rsidRPr="00DD21B3">
              <w:rPr>
                <w:rFonts w:eastAsia="Times New Roman" w:cs="Times New Roman"/>
                <w:bCs/>
                <w:strike/>
                <w:spacing w:val="-3"/>
              </w:rPr>
              <w:t xml:space="preserve"> P</w:t>
            </w:r>
            <w:r w:rsidRPr="00DD21B3">
              <w:rPr>
                <w:rFonts w:eastAsia="Times New Roman" w:cs="Times New Roman"/>
                <w:bCs/>
                <w:strike/>
                <w:spacing w:val="-1"/>
              </w:rPr>
              <w:t>r</w:t>
            </w:r>
            <w:r w:rsidRPr="00DD21B3">
              <w:rPr>
                <w:rFonts w:eastAsia="Times New Roman" w:cs="Times New Roman"/>
                <w:bCs/>
                <w:strike/>
                <w:spacing w:val="2"/>
              </w:rPr>
              <w:t>o</w:t>
            </w:r>
            <w:r w:rsidRPr="00DD21B3">
              <w:rPr>
                <w:rFonts w:eastAsia="Times New Roman" w:cs="Times New Roman"/>
                <w:bCs/>
                <w:strike/>
                <w:spacing w:val="-1"/>
              </w:rPr>
              <w:t>m</w:t>
            </w:r>
            <w:r w:rsidRPr="00DD21B3">
              <w:rPr>
                <w:rFonts w:eastAsia="Times New Roman" w:cs="Times New Roman"/>
                <w:bCs/>
                <w:strike/>
              </w:rPr>
              <w:t>ote</w:t>
            </w:r>
            <w:r w:rsidRPr="00DD21B3">
              <w:rPr>
                <w:rFonts w:eastAsia="Times New Roman" w:cs="Times New Roman"/>
                <w:bCs/>
                <w:strike/>
                <w:spacing w:val="1"/>
              </w:rPr>
              <w:t xml:space="preserve"> </w:t>
            </w:r>
            <w:r w:rsidRPr="00DD21B3">
              <w:rPr>
                <w:rFonts w:eastAsia="Times New Roman" w:cs="Times New Roman"/>
                <w:bCs/>
                <w:strike/>
              </w:rPr>
              <w:t>enrol</w:t>
            </w:r>
            <w:r w:rsidRPr="00DD21B3">
              <w:rPr>
                <w:rFonts w:eastAsia="Times New Roman" w:cs="Times New Roman"/>
                <w:bCs/>
                <w:strike/>
                <w:spacing w:val="3"/>
              </w:rPr>
              <w:t>l</w:t>
            </w:r>
            <w:r w:rsidRPr="00DD21B3">
              <w:rPr>
                <w:rFonts w:eastAsia="Times New Roman" w:cs="Times New Roman"/>
                <w:bCs/>
                <w:strike/>
                <w:spacing w:val="-3"/>
              </w:rPr>
              <w:t>m</w:t>
            </w:r>
            <w:r w:rsidRPr="00DD21B3">
              <w:rPr>
                <w:rFonts w:eastAsia="Times New Roman" w:cs="Times New Roman"/>
                <w:bCs/>
                <w:strike/>
                <w:spacing w:val="-1"/>
              </w:rPr>
              <w:t>e</w:t>
            </w:r>
            <w:r w:rsidRPr="00DD21B3">
              <w:rPr>
                <w:rFonts w:eastAsia="Times New Roman" w:cs="Times New Roman"/>
                <w:bCs/>
                <w:strike/>
                <w:spacing w:val="3"/>
              </w:rPr>
              <w:t>n</w:t>
            </w:r>
            <w:r w:rsidRPr="00DD21B3">
              <w:rPr>
                <w:rFonts w:eastAsia="Times New Roman" w:cs="Times New Roman"/>
                <w:bCs/>
                <w:strike/>
              </w:rPr>
              <w:t>t</w:t>
            </w:r>
            <w:r w:rsidRPr="00DD21B3">
              <w:rPr>
                <w:rFonts w:eastAsia="Times New Roman" w:cs="Times New Roman"/>
                <w:bCs/>
                <w:strike/>
                <w:spacing w:val="1"/>
              </w:rPr>
              <w:t xml:space="preserve"> </w:t>
            </w:r>
            <w:r w:rsidRPr="00DD21B3">
              <w:rPr>
                <w:rFonts w:eastAsia="Times New Roman" w:cs="Times New Roman"/>
                <w:bCs/>
                <w:strike/>
              </w:rPr>
              <w:t>gro</w:t>
            </w:r>
            <w:r w:rsidRPr="00DD21B3">
              <w:rPr>
                <w:rFonts w:eastAsia="Times New Roman" w:cs="Times New Roman"/>
                <w:bCs/>
                <w:strike/>
                <w:spacing w:val="2"/>
              </w:rPr>
              <w:t>w</w:t>
            </w:r>
            <w:r w:rsidRPr="00DD21B3">
              <w:rPr>
                <w:rFonts w:eastAsia="Times New Roman" w:cs="Times New Roman"/>
                <w:bCs/>
                <w:strike/>
              </w:rPr>
              <w:t>th and access</w:t>
            </w:r>
          </w:p>
        </w:tc>
        <w:tc>
          <w:tcPr>
            <w:tcW w:w="4172" w:type="dxa"/>
            <w:vAlign w:val="center"/>
          </w:tcPr>
          <w:p w14:paraId="5DC69675" w14:textId="54AA8461" w:rsidR="00526F60" w:rsidRDefault="00526F60" w:rsidP="00526F60">
            <w:pPr>
              <w:ind w:left="56"/>
            </w:pPr>
            <w:r w:rsidRPr="009648A5">
              <w:rPr>
                <w:b/>
              </w:rPr>
              <w:t xml:space="preserve">**New </w:t>
            </w:r>
            <w:r>
              <w:rPr>
                <w:b/>
              </w:rPr>
              <w:t>YCCC g</w:t>
            </w:r>
            <w:r w:rsidRPr="009648A5">
              <w:rPr>
                <w:b/>
              </w:rPr>
              <w:t>oal for creating a culture of professional growth and an investment in personnel.</w:t>
            </w:r>
          </w:p>
        </w:tc>
        <w:tc>
          <w:tcPr>
            <w:tcW w:w="4172" w:type="dxa"/>
          </w:tcPr>
          <w:p w14:paraId="0C887DDA" w14:textId="6F850967" w:rsidR="00526F60" w:rsidRDefault="00526F60" w:rsidP="00526F60">
            <w:pPr>
              <w:ind w:left="56"/>
            </w:pPr>
          </w:p>
        </w:tc>
        <w:tc>
          <w:tcPr>
            <w:tcW w:w="4172" w:type="dxa"/>
          </w:tcPr>
          <w:p w14:paraId="36EEDF98" w14:textId="77777777" w:rsidR="00E864EF" w:rsidRDefault="00E864EF" w:rsidP="00526F60">
            <w:pPr>
              <w:ind w:left="56"/>
            </w:pPr>
          </w:p>
          <w:p w14:paraId="1BAAB261" w14:textId="04AA3500" w:rsidR="00B06A2A" w:rsidRPr="00665195" w:rsidRDefault="00B06A2A" w:rsidP="00526F60">
            <w:pPr>
              <w:ind w:left="56"/>
              <w:rPr>
                <w:b/>
                <w:color w:val="C0504D" w:themeColor="accent2"/>
              </w:rPr>
            </w:pPr>
            <w:r w:rsidRPr="00665195">
              <w:rPr>
                <w:b/>
                <w:color w:val="C0504D" w:themeColor="accent2"/>
              </w:rPr>
              <w:t xml:space="preserve">Foster innovation by investing in and empowering our </w:t>
            </w:r>
            <w:r w:rsidR="00526F60" w:rsidRPr="00665195">
              <w:rPr>
                <w:b/>
                <w:color w:val="C0504D" w:themeColor="accent2"/>
              </w:rPr>
              <w:t>employees</w:t>
            </w:r>
            <w:r w:rsidRPr="00665195">
              <w:rPr>
                <w:b/>
                <w:color w:val="C0504D" w:themeColor="accent2"/>
              </w:rPr>
              <w:t>.</w:t>
            </w:r>
          </w:p>
          <w:p w14:paraId="0E10ED60" w14:textId="77777777" w:rsidR="00B06A2A" w:rsidRDefault="00B06A2A" w:rsidP="00526F60">
            <w:pPr>
              <w:ind w:left="56"/>
            </w:pPr>
          </w:p>
          <w:p w14:paraId="49C79869" w14:textId="6CF22150" w:rsidR="00526F60" w:rsidRDefault="00B06A2A" w:rsidP="00526F60">
            <w:pPr>
              <w:ind w:left="56"/>
              <w:rPr>
                <w:b/>
                <w:color w:val="C00000"/>
              </w:rPr>
            </w:pPr>
            <w:r>
              <w:t>(i.e.</w:t>
            </w:r>
            <w:r w:rsidR="00526F60">
              <w:t xml:space="preserve"> continuing education, training, </w:t>
            </w:r>
            <w:r>
              <w:t xml:space="preserve">recognition program, </w:t>
            </w:r>
            <w:r w:rsidR="00526F60">
              <w:t xml:space="preserve">and </w:t>
            </w:r>
            <w:r>
              <w:t>professional development)</w:t>
            </w:r>
          </w:p>
          <w:p w14:paraId="2682AFD2" w14:textId="79122FFB" w:rsidR="00526F60" w:rsidRPr="00526F60" w:rsidRDefault="00526F60" w:rsidP="00526F60">
            <w:pPr>
              <w:ind w:left="56"/>
            </w:pPr>
          </w:p>
        </w:tc>
      </w:tr>
    </w:tbl>
    <w:p w14:paraId="12B3AD46" w14:textId="7E89F88B" w:rsidR="00FB4410" w:rsidRPr="00DD21B3" w:rsidRDefault="00FB4410" w:rsidP="00DD21B3">
      <w:pPr>
        <w:rPr>
          <w:sz w:val="24"/>
          <w:szCs w:val="24"/>
        </w:rPr>
      </w:pPr>
    </w:p>
    <w:sectPr w:rsidR="00FB4410" w:rsidRPr="00DD21B3" w:rsidSect="00526F60">
      <w:footerReference w:type="default" r:id="rId12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DE6FE" w14:textId="77777777" w:rsidR="00FA649C" w:rsidRDefault="00FA649C">
      <w:pPr>
        <w:spacing w:after="0" w:line="240" w:lineRule="auto"/>
      </w:pPr>
      <w:r>
        <w:separator/>
      </w:r>
    </w:p>
  </w:endnote>
  <w:endnote w:type="continuationSeparator" w:id="0">
    <w:p w14:paraId="5106302D" w14:textId="77777777" w:rsidR="00FA649C" w:rsidRDefault="00FA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3AD4B" w14:textId="77777777" w:rsidR="00EC3692" w:rsidRDefault="00FB441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B3AD4C" wp14:editId="12B3AD4D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3AD4E" w14:textId="77777777" w:rsidR="00EC3692" w:rsidRDefault="00FB4410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5195">
                            <w:rPr>
                              <w:rFonts w:ascii="Calibri" w:eastAsia="Calibri" w:hAnsi="Calibri" w:cs="Calibri"/>
                              <w:noProof/>
                              <w:color w:val="231F20"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2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GiFrwzgAAAADQEAAA8AAAAA&#10;AAAAAAAAAAAAAwUAAGRycy9kb3ducmV2LnhtbFBLBQYAAAAABAAEAPMAAAAQBgAAAAA=&#10;" filled="f" stroked="f">
              <v:textbox inset="0,0,0,0">
                <w:txbxContent>
                  <w:p w14:paraId="12B3AD4E" w14:textId="77777777" w:rsidR="00EC3692" w:rsidRDefault="00FB4410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5195">
                      <w:rPr>
                        <w:rFonts w:ascii="Calibri" w:eastAsia="Calibri" w:hAnsi="Calibri" w:cs="Calibri"/>
                        <w:noProof/>
                        <w:color w:val="231F20"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A7914" w14:textId="77777777" w:rsidR="00FA649C" w:rsidRDefault="00FA649C">
      <w:pPr>
        <w:spacing w:after="0" w:line="240" w:lineRule="auto"/>
      </w:pPr>
      <w:r>
        <w:separator/>
      </w:r>
    </w:p>
  </w:footnote>
  <w:footnote w:type="continuationSeparator" w:id="0">
    <w:p w14:paraId="589C2881" w14:textId="77777777" w:rsidR="00FA649C" w:rsidRDefault="00FA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BBA"/>
    <w:multiLevelType w:val="hybridMultilevel"/>
    <w:tmpl w:val="192C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848CF"/>
    <w:multiLevelType w:val="hybridMultilevel"/>
    <w:tmpl w:val="BDCA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E7633"/>
    <w:multiLevelType w:val="hybridMultilevel"/>
    <w:tmpl w:val="CB94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F1FAA"/>
    <w:multiLevelType w:val="hybridMultilevel"/>
    <w:tmpl w:val="04CE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0E"/>
    <w:rsid w:val="00015DE5"/>
    <w:rsid w:val="000E53F7"/>
    <w:rsid w:val="00117166"/>
    <w:rsid w:val="00172732"/>
    <w:rsid w:val="00352906"/>
    <w:rsid w:val="004C5C0F"/>
    <w:rsid w:val="00526F60"/>
    <w:rsid w:val="00600D83"/>
    <w:rsid w:val="00665195"/>
    <w:rsid w:val="006D46A3"/>
    <w:rsid w:val="00816B41"/>
    <w:rsid w:val="009648A5"/>
    <w:rsid w:val="00A71913"/>
    <w:rsid w:val="00AB4D9D"/>
    <w:rsid w:val="00B06A2A"/>
    <w:rsid w:val="00B9410E"/>
    <w:rsid w:val="00DD21B3"/>
    <w:rsid w:val="00E864EF"/>
    <w:rsid w:val="00F62985"/>
    <w:rsid w:val="00F821D3"/>
    <w:rsid w:val="00FA649C"/>
    <w:rsid w:val="00FB4410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A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DA64CADAC9743A4C84EB08EAADDF3" ma:contentTypeVersion="0" ma:contentTypeDescription="Create a new document." ma:contentTypeScope="" ma:versionID="e35500e7281f7e791014edfef1b4f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2B05-8F02-49F5-B3F9-971A2F5A6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2F349-1467-4B03-983B-4992E6F2D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92CD0-ACAD-4C06-BBC9-B3DF651C08DD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396921-5648-4F13-ADB9-80C694BF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Gill</dc:creator>
  <cp:lastModifiedBy>Nicholas Gill</cp:lastModifiedBy>
  <cp:revision>4</cp:revision>
  <dcterms:created xsi:type="dcterms:W3CDTF">2016-03-24T17:34:00Z</dcterms:created>
  <dcterms:modified xsi:type="dcterms:W3CDTF">2016-03-31T16:59:00Z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0x010100921DA64CADAC9743A4C84EB08EAADDF3</vt:lpwstr>
  </property>
</Properties>
</file>